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C6961" w:rsidRDefault="00110406" w:rsidP="00110406">
      <w:pPr>
        <w:spacing w:after="0" w:line="240" w:lineRule="auto"/>
        <w:jc w:val="center"/>
        <w:rPr>
          <w:rFonts w:ascii="Times New Roman" w:hAnsi="Times New Roman"/>
          <w:b/>
          <w:sz w:val="28"/>
          <w:szCs w:val="28"/>
        </w:rPr>
      </w:pPr>
      <w:r>
        <w:rPr>
          <w:rFonts w:ascii="Times New Roman" w:hAnsi="Times New Roman"/>
          <w:b/>
          <w:sz w:val="28"/>
          <w:szCs w:val="28"/>
        </w:rPr>
        <w:t>ΕΠΙΜΟΡΦΩΣΗ ΕΚΠΑΙΔΕΥΤΙΚΩΝ ΔΕΥΤΕΡΟΒΑΘΜΙΑΣ ΕΚΠΑΙΔΕΥΣΗΣ ΣΤΗΝ ΠΡΑΣΙΝΗ ΧΗΜΕΙΑ: ΔΙΕΡΕΥΝΗΣΗ ΑΝΑΓΚΩΝ, ΠΡΟΤΑΣΗ ΠΡΟΓΡΑΜΜΑΤΟΣ ΚΑΙ ΑΞΙΟΛΟΓΗΣΗ</w:t>
      </w:r>
    </w:p>
    <w:p w:rsidR="00110406" w:rsidRDefault="00110406" w:rsidP="00110406">
      <w:pPr>
        <w:spacing w:after="0" w:line="240" w:lineRule="auto"/>
        <w:jc w:val="center"/>
        <w:rPr>
          <w:rFonts w:ascii="Times New Roman" w:hAnsi="Times New Roman"/>
          <w:b/>
          <w:sz w:val="28"/>
          <w:szCs w:val="28"/>
        </w:rPr>
      </w:pPr>
      <w:r>
        <w:rPr>
          <w:rFonts w:ascii="Times New Roman" w:hAnsi="Times New Roman"/>
          <w:b/>
          <w:sz w:val="28"/>
          <w:szCs w:val="28"/>
        </w:rPr>
        <w:t xml:space="preserve"> </w:t>
      </w:r>
    </w:p>
    <w:p w:rsidR="00110406" w:rsidRPr="00A43734" w:rsidRDefault="00110406" w:rsidP="00110406">
      <w:pPr>
        <w:spacing w:after="0" w:line="240" w:lineRule="auto"/>
        <w:jc w:val="center"/>
        <w:rPr>
          <w:rFonts w:ascii="Times New Roman" w:hAnsi="Times New Roman"/>
          <w:sz w:val="24"/>
          <w:szCs w:val="24"/>
        </w:rPr>
      </w:pPr>
      <w:r w:rsidRPr="005A2324">
        <w:rPr>
          <w:rFonts w:ascii="Times New Roman" w:hAnsi="Times New Roman"/>
          <w:sz w:val="24"/>
          <w:szCs w:val="24"/>
        </w:rPr>
        <w:br/>
      </w:r>
      <w:r w:rsidRPr="005A2324">
        <w:rPr>
          <w:rFonts w:ascii="Times New Roman" w:hAnsi="Times New Roman"/>
          <w:sz w:val="24"/>
          <w:szCs w:val="24"/>
          <w:u w:val="single"/>
        </w:rPr>
        <w:t>Δ. Αθανασόπουλος</w:t>
      </w:r>
      <w:r w:rsidRPr="00A43734">
        <w:rPr>
          <w:rFonts w:ascii="Times New Roman" w:hAnsi="Times New Roman"/>
          <w:sz w:val="24"/>
          <w:szCs w:val="24"/>
          <w:vertAlign w:val="superscript"/>
        </w:rPr>
        <w:t>1</w:t>
      </w:r>
      <w:r w:rsidRPr="005A2324">
        <w:rPr>
          <w:rFonts w:ascii="Times New Roman" w:hAnsi="Times New Roman"/>
          <w:sz w:val="24"/>
          <w:szCs w:val="24"/>
        </w:rPr>
        <w:t xml:space="preserve">, </w:t>
      </w:r>
      <w:r>
        <w:rPr>
          <w:rFonts w:ascii="Times New Roman" w:hAnsi="Times New Roman"/>
          <w:sz w:val="24"/>
          <w:szCs w:val="24"/>
        </w:rPr>
        <w:t>Λ</w:t>
      </w:r>
      <w:r w:rsidRPr="005A2324">
        <w:rPr>
          <w:rFonts w:ascii="Times New Roman" w:hAnsi="Times New Roman"/>
          <w:sz w:val="24"/>
          <w:szCs w:val="24"/>
        </w:rPr>
        <w:t xml:space="preserve">. </w:t>
      </w:r>
      <w:r>
        <w:rPr>
          <w:rFonts w:ascii="Times New Roman" w:hAnsi="Times New Roman"/>
          <w:sz w:val="24"/>
          <w:szCs w:val="24"/>
        </w:rPr>
        <w:t>Αρβανίτης</w:t>
      </w:r>
      <w:r w:rsidRPr="00A43734">
        <w:rPr>
          <w:rFonts w:ascii="Times New Roman" w:hAnsi="Times New Roman"/>
          <w:sz w:val="24"/>
          <w:szCs w:val="24"/>
          <w:vertAlign w:val="superscript"/>
        </w:rPr>
        <w:t>2</w:t>
      </w:r>
      <w:r w:rsidR="00D01607" w:rsidRPr="00D01607">
        <w:rPr>
          <w:rFonts w:ascii="Times New Roman" w:hAnsi="Times New Roman"/>
          <w:sz w:val="24"/>
          <w:szCs w:val="24"/>
          <w:vertAlign w:val="superscript"/>
        </w:rPr>
        <w:t xml:space="preserve"> </w:t>
      </w:r>
      <w:r>
        <w:rPr>
          <w:rFonts w:ascii="Times New Roman" w:hAnsi="Times New Roman"/>
          <w:sz w:val="24"/>
          <w:szCs w:val="24"/>
        </w:rPr>
        <w:t>και Λ. Καραμούστου</w:t>
      </w:r>
      <w:r w:rsidRPr="00A43734">
        <w:rPr>
          <w:rFonts w:ascii="Times New Roman" w:hAnsi="Times New Roman"/>
          <w:sz w:val="24"/>
          <w:szCs w:val="24"/>
          <w:vertAlign w:val="superscript"/>
        </w:rPr>
        <w:t>3</w:t>
      </w:r>
    </w:p>
    <w:p w:rsidR="00110406" w:rsidRPr="00B0138A" w:rsidRDefault="00110406" w:rsidP="009C54AA">
      <w:pPr>
        <w:spacing w:line="240" w:lineRule="auto"/>
        <w:jc w:val="both"/>
        <w:rPr>
          <w:rFonts w:ascii="Times New Roman" w:hAnsi="Times New Roman" w:cs="Times New Roman"/>
          <w:i/>
          <w:sz w:val="24"/>
          <w:szCs w:val="24"/>
        </w:rPr>
      </w:pPr>
      <w:r>
        <w:br/>
      </w:r>
      <w:r w:rsidRPr="00B0138A">
        <w:rPr>
          <w:rFonts w:ascii="Times New Roman" w:hAnsi="Times New Roman" w:cs="Times New Roman"/>
          <w:i/>
          <w:sz w:val="24"/>
          <w:szCs w:val="24"/>
          <w:vertAlign w:val="superscript"/>
        </w:rPr>
        <w:t>1</w:t>
      </w:r>
      <w:r w:rsidRPr="00B0138A">
        <w:rPr>
          <w:rFonts w:ascii="Times New Roman" w:hAnsi="Times New Roman" w:cs="Times New Roman"/>
          <w:i/>
          <w:sz w:val="24"/>
          <w:szCs w:val="24"/>
        </w:rPr>
        <w:t>Χημικός</w:t>
      </w:r>
      <w:r w:rsidR="009C54AA">
        <w:rPr>
          <w:rFonts w:ascii="Times New Roman" w:hAnsi="Times New Roman" w:cs="Times New Roman"/>
          <w:i/>
          <w:sz w:val="24"/>
          <w:szCs w:val="24"/>
        </w:rPr>
        <w:t xml:space="preserve"> </w:t>
      </w:r>
      <w:r w:rsidRPr="00B0138A">
        <w:rPr>
          <w:rFonts w:ascii="Times New Roman" w:hAnsi="Times New Roman" w:cs="Times New Roman"/>
          <w:i/>
          <w:sz w:val="24"/>
          <w:szCs w:val="24"/>
          <w:lang w:val="en-US"/>
        </w:rPr>
        <w:t>M</w:t>
      </w:r>
      <w:r w:rsidRPr="00B0138A">
        <w:rPr>
          <w:rFonts w:ascii="Times New Roman" w:hAnsi="Times New Roman" w:cs="Times New Roman"/>
          <w:i/>
          <w:sz w:val="24"/>
          <w:szCs w:val="24"/>
        </w:rPr>
        <w:t>.</w:t>
      </w:r>
      <w:proofErr w:type="spellStart"/>
      <w:r w:rsidRPr="00B0138A">
        <w:rPr>
          <w:rFonts w:ascii="Times New Roman" w:hAnsi="Times New Roman" w:cs="Times New Roman"/>
          <w:i/>
          <w:sz w:val="24"/>
          <w:szCs w:val="24"/>
          <w:lang w:val="en-US"/>
        </w:rPr>
        <w:t>Sc</w:t>
      </w:r>
      <w:proofErr w:type="spellEnd"/>
      <w:r w:rsidRPr="00B0138A">
        <w:rPr>
          <w:rFonts w:ascii="Times New Roman" w:hAnsi="Times New Roman" w:cs="Times New Roman"/>
          <w:i/>
          <w:sz w:val="24"/>
          <w:szCs w:val="24"/>
        </w:rPr>
        <w:t xml:space="preserve">., Υπ. Διδάκτορας (Παν. Πατρών), Μετ. Φοιτητής (Ελληνικό Ανοικτό Πανεπιστήμιο). Πιστοποιημένος Εκπαιδευτής Ενηλίκων της Μη Τυπικής Εκπαίδευσης. Πανεπιστήμιο Πατρών, </w:t>
      </w:r>
      <w:proofErr w:type="spellStart"/>
      <w:r w:rsidRPr="00B0138A">
        <w:rPr>
          <w:rFonts w:ascii="Times New Roman" w:hAnsi="Times New Roman" w:cs="Times New Roman"/>
          <w:i/>
          <w:sz w:val="24"/>
          <w:szCs w:val="24"/>
        </w:rPr>
        <w:t>Τμ</w:t>
      </w:r>
      <w:proofErr w:type="spellEnd"/>
      <w:r w:rsidRPr="00B0138A">
        <w:rPr>
          <w:rFonts w:ascii="Times New Roman" w:hAnsi="Times New Roman" w:cs="Times New Roman"/>
          <w:i/>
          <w:sz w:val="24"/>
          <w:szCs w:val="24"/>
        </w:rPr>
        <w:t>. Χημείας. Εργαστήριο Ραδιοχημείας, Πάτρα, Τ.Κ: 26500.</w:t>
      </w:r>
    </w:p>
    <w:p w:rsidR="00110406" w:rsidRPr="00B0138A" w:rsidRDefault="00110406" w:rsidP="009C54AA">
      <w:pPr>
        <w:spacing w:line="240" w:lineRule="auto"/>
        <w:jc w:val="both"/>
        <w:rPr>
          <w:rFonts w:ascii="Times New Roman" w:hAnsi="Times New Roman" w:cs="Times New Roman"/>
          <w:i/>
          <w:sz w:val="24"/>
          <w:szCs w:val="24"/>
        </w:rPr>
      </w:pPr>
      <w:r w:rsidRPr="00B0138A">
        <w:rPr>
          <w:rFonts w:ascii="Times New Roman" w:hAnsi="Times New Roman" w:cs="Times New Roman"/>
          <w:i/>
          <w:sz w:val="24"/>
          <w:szCs w:val="24"/>
          <w:vertAlign w:val="superscript"/>
        </w:rPr>
        <w:t>2</w:t>
      </w:r>
      <w:r w:rsidRPr="00B0138A">
        <w:rPr>
          <w:rFonts w:ascii="Times New Roman" w:hAnsi="Times New Roman" w:cs="Times New Roman"/>
          <w:i/>
          <w:sz w:val="24"/>
          <w:szCs w:val="24"/>
        </w:rPr>
        <w:t>Χημικός</w:t>
      </w:r>
      <w:r w:rsidR="009C54AA">
        <w:rPr>
          <w:rFonts w:ascii="Times New Roman" w:hAnsi="Times New Roman" w:cs="Times New Roman"/>
          <w:i/>
          <w:sz w:val="24"/>
          <w:szCs w:val="24"/>
        </w:rPr>
        <w:t xml:space="preserve"> </w:t>
      </w:r>
      <w:r w:rsidRPr="00B0138A">
        <w:rPr>
          <w:rFonts w:ascii="Times New Roman" w:hAnsi="Times New Roman" w:cs="Times New Roman"/>
          <w:i/>
          <w:sz w:val="24"/>
          <w:szCs w:val="24"/>
          <w:lang w:val="en-US"/>
        </w:rPr>
        <w:t>M</w:t>
      </w:r>
      <w:r w:rsidRPr="00B0138A">
        <w:rPr>
          <w:rFonts w:ascii="Times New Roman" w:hAnsi="Times New Roman" w:cs="Times New Roman"/>
          <w:i/>
          <w:sz w:val="24"/>
          <w:szCs w:val="24"/>
        </w:rPr>
        <w:t>.</w:t>
      </w:r>
      <w:proofErr w:type="spellStart"/>
      <w:r w:rsidRPr="00B0138A">
        <w:rPr>
          <w:rFonts w:ascii="Times New Roman" w:hAnsi="Times New Roman" w:cs="Times New Roman"/>
          <w:i/>
          <w:sz w:val="24"/>
          <w:szCs w:val="24"/>
          <w:lang w:val="en-US"/>
        </w:rPr>
        <w:t>Sc</w:t>
      </w:r>
      <w:proofErr w:type="spellEnd"/>
      <w:r w:rsidRPr="00B0138A">
        <w:rPr>
          <w:rFonts w:ascii="Times New Roman" w:hAnsi="Times New Roman" w:cs="Times New Roman"/>
          <w:i/>
          <w:sz w:val="24"/>
          <w:szCs w:val="24"/>
        </w:rPr>
        <w:t>., Μετ. Φοιτητής (Παν.</w:t>
      </w:r>
      <w:r w:rsidR="00E03AD2" w:rsidRPr="00B0138A">
        <w:rPr>
          <w:rFonts w:ascii="Times New Roman" w:hAnsi="Times New Roman" w:cs="Times New Roman"/>
          <w:i/>
          <w:sz w:val="24"/>
          <w:szCs w:val="24"/>
        </w:rPr>
        <w:t xml:space="preserve"> </w:t>
      </w:r>
      <w:r w:rsidRPr="00B0138A">
        <w:rPr>
          <w:rFonts w:ascii="Times New Roman" w:hAnsi="Times New Roman" w:cs="Times New Roman"/>
          <w:i/>
          <w:sz w:val="24"/>
          <w:szCs w:val="24"/>
        </w:rPr>
        <w:t>Λευκωσίας). Πιστοποιημένος Εκπαιδευτής Ενηλίκων της Μη Τυπικής Εκπαίδευσης.</w:t>
      </w:r>
      <w:r w:rsidR="00E03AD2" w:rsidRPr="00B0138A">
        <w:rPr>
          <w:rFonts w:ascii="Times New Roman" w:hAnsi="Times New Roman" w:cs="Times New Roman"/>
          <w:i/>
          <w:sz w:val="24"/>
          <w:szCs w:val="24"/>
        </w:rPr>
        <w:t xml:space="preserve"> </w:t>
      </w:r>
      <w:r w:rsidRPr="00B0138A">
        <w:rPr>
          <w:rFonts w:ascii="Times New Roman" w:hAnsi="Times New Roman" w:cs="Times New Roman"/>
          <w:i/>
          <w:sz w:val="24"/>
          <w:szCs w:val="24"/>
        </w:rPr>
        <w:t>Μακεδονίτισσας 46, Τ.Θ. 24005, 1700 Λευκωσία.</w:t>
      </w:r>
    </w:p>
    <w:p w:rsidR="00110406" w:rsidRDefault="00110406" w:rsidP="00110406">
      <w:pPr>
        <w:spacing w:after="0" w:line="240" w:lineRule="auto"/>
        <w:jc w:val="both"/>
        <w:rPr>
          <w:rFonts w:ascii="Times New Roman" w:hAnsi="Times New Roman" w:cs="Times New Roman"/>
          <w:i/>
          <w:sz w:val="24"/>
          <w:szCs w:val="24"/>
        </w:rPr>
      </w:pPr>
      <w:r w:rsidRPr="00B0138A">
        <w:rPr>
          <w:rFonts w:ascii="Times New Roman" w:hAnsi="Times New Roman" w:cs="Times New Roman"/>
          <w:i/>
          <w:sz w:val="24"/>
          <w:szCs w:val="24"/>
          <w:vertAlign w:val="superscript"/>
        </w:rPr>
        <w:t>3</w:t>
      </w:r>
      <w:r w:rsidRPr="00B0138A">
        <w:rPr>
          <w:rFonts w:ascii="Times New Roman" w:hAnsi="Times New Roman" w:cs="Times New Roman"/>
          <w:i/>
          <w:sz w:val="24"/>
          <w:szCs w:val="24"/>
        </w:rPr>
        <w:t>Διευθύντρια Εκπαίδευσης &amp; Κατάρτισης, ΚΔΒΜ Επιπέδου 2 «Μόρφωση», Ναύπακτος,</w:t>
      </w:r>
      <w:r w:rsidR="00E03AD2" w:rsidRPr="00B0138A">
        <w:rPr>
          <w:rFonts w:ascii="Times New Roman" w:hAnsi="Times New Roman" w:cs="Times New Roman"/>
          <w:i/>
          <w:sz w:val="24"/>
          <w:szCs w:val="24"/>
        </w:rPr>
        <w:t xml:space="preserve"> </w:t>
      </w:r>
      <w:r w:rsidRPr="00B0138A">
        <w:rPr>
          <w:rFonts w:ascii="Times New Roman" w:hAnsi="Times New Roman" w:cs="Times New Roman"/>
          <w:i/>
          <w:sz w:val="24"/>
          <w:szCs w:val="24"/>
        </w:rPr>
        <w:t>Τ.Κ: 30300.</w:t>
      </w:r>
    </w:p>
    <w:p w:rsidR="00E60B05" w:rsidRPr="00B0138A" w:rsidRDefault="00E60B05" w:rsidP="00110406">
      <w:pPr>
        <w:spacing w:after="0" w:line="240" w:lineRule="auto"/>
        <w:jc w:val="both"/>
        <w:rPr>
          <w:rFonts w:ascii="Times New Roman" w:hAnsi="Times New Roman" w:cs="Times New Roman"/>
          <w:sz w:val="24"/>
          <w:szCs w:val="24"/>
        </w:rPr>
      </w:pPr>
    </w:p>
    <w:p w:rsidR="00F65645" w:rsidRPr="009C54AA" w:rsidRDefault="00F65645" w:rsidP="00110406">
      <w:pPr>
        <w:jc w:val="center"/>
        <w:rPr>
          <w:rFonts w:ascii="Times New Roman" w:hAnsi="Times New Roman" w:cs="Times New Roman"/>
          <w:sz w:val="24"/>
          <w:szCs w:val="24"/>
        </w:rPr>
      </w:pPr>
    </w:p>
    <w:p w:rsidR="00110406" w:rsidRPr="00B0138A" w:rsidRDefault="00110406" w:rsidP="00110406">
      <w:pPr>
        <w:jc w:val="center"/>
        <w:rPr>
          <w:rFonts w:ascii="Times New Roman" w:hAnsi="Times New Roman" w:cs="Times New Roman"/>
          <w:color w:val="000000" w:themeColor="text1"/>
          <w:sz w:val="24"/>
          <w:szCs w:val="24"/>
        </w:rPr>
      </w:pPr>
      <w:r w:rsidRPr="00B0138A">
        <w:rPr>
          <w:rFonts w:ascii="Times New Roman" w:hAnsi="Times New Roman" w:cs="Times New Roman"/>
          <w:sz w:val="24"/>
          <w:szCs w:val="24"/>
          <w:lang w:val="en-US"/>
        </w:rPr>
        <w:t>Email</w:t>
      </w:r>
      <w:r w:rsidR="00706BCE" w:rsidRPr="006F496F">
        <w:rPr>
          <w:rFonts w:ascii="Times New Roman" w:hAnsi="Times New Roman" w:cs="Times New Roman"/>
          <w:sz w:val="24"/>
          <w:szCs w:val="24"/>
        </w:rPr>
        <w:t xml:space="preserve"> </w:t>
      </w:r>
      <w:r w:rsidRPr="00B0138A">
        <w:rPr>
          <w:rFonts w:ascii="Times New Roman" w:hAnsi="Times New Roman" w:cs="Times New Roman"/>
          <w:sz w:val="24"/>
          <w:szCs w:val="24"/>
        </w:rPr>
        <w:t xml:space="preserve">Επικοινωνίας: </w:t>
      </w:r>
      <w:hyperlink r:id="rId8" w:history="1">
        <w:r w:rsidRPr="00B0138A">
          <w:rPr>
            <w:rStyle w:val="-"/>
            <w:rFonts w:ascii="Times New Roman" w:hAnsi="Times New Roman" w:cs="Times New Roman"/>
            <w:color w:val="000000" w:themeColor="text1"/>
            <w:sz w:val="24"/>
            <w:szCs w:val="24"/>
            <w:lang w:val="en-US"/>
          </w:rPr>
          <w:t>athanasopoulosd</w:t>
        </w:r>
        <w:r w:rsidRPr="00B0138A">
          <w:rPr>
            <w:rStyle w:val="-"/>
            <w:rFonts w:ascii="Times New Roman" w:hAnsi="Times New Roman" w:cs="Times New Roman"/>
            <w:color w:val="000000" w:themeColor="text1"/>
            <w:sz w:val="24"/>
            <w:szCs w:val="24"/>
          </w:rPr>
          <w:t>@</w:t>
        </w:r>
        <w:r w:rsidRPr="00B0138A">
          <w:rPr>
            <w:rStyle w:val="-"/>
            <w:rFonts w:ascii="Times New Roman" w:hAnsi="Times New Roman" w:cs="Times New Roman"/>
            <w:color w:val="000000" w:themeColor="text1"/>
            <w:sz w:val="24"/>
            <w:szCs w:val="24"/>
            <w:lang w:val="en-US"/>
          </w:rPr>
          <w:t>gmail</w:t>
        </w:r>
        <w:r w:rsidRPr="00B0138A">
          <w:rPr>
            <w:rStyle w:val="-"/>
            <w:rFonts w:ascii="Times New Roman" w:hAnsi="Times New Roman" w:cs="Times New Roman"/>
            <w:color w:val="000000" w:themeColor="text1"/>
            <w:sz w:val="24"/>
            <w:szCs w:val="24"/>
          </w:rPr>
          <w:t>.</w:t>
        </w:r>
        <w:r w:rsidRPr="00B0138A">
          <w:rPr>
            <w:rStyle w:val="-"/>
            <w:rFonts w:ascii="Times New Roman" w:hAnsi="Times New Roman" w:cs="Times New Roman"/>
            <w:color w:val="000000" w:themeColor="text1"/>
            <w:sz w:val="24"/>
            <w:szCs w:val="24"/>
            <w:lang w:val="en-US"/>
          </w:rPr>
          <w:t>com</w:t>
        </w:r>
      </w:hyperlink>
      <w:r w:rsidRPr="00B0138A">
        <w:rPr>
          <w:rFonts w:ascii="Times New Roman" w:hAnsi="Times New Roman" w:cs="Times New Roman"/>
          <w:color w:val="000000" w:themeColor="text1"/>
          <w:sz w:val="24"/>
          <w:szCs w:val="24"/>
        </w:rPr>
        <w:t xml:space="preserve">, </w:t>
      </w:r>
      <w:hyperlink r:id="rId9" w:history="1">
        <w:r w:rsidRPr="00B0138A">
          <w:rPr>
            <w:rStyle w:val="-"/>
            <w:rFonts w:ascii="Times New Roman" w:hAnsi="Times New Roman" w:cs="Times New Roman"/>
            <w:color w:val="000000" w:themeColor="text1"/>
            <w:sz w:val="24"/>
            <w:szCs w:val="24"/>
            <w:lang w:val="en-US"/>
          </w:rPr>
          <w:t>larvanit</w:t>
        </w:r>
        <w:r w:rsidRPr="00B0138A">
          <w:rPr>
            <w:rStyle w:val="-"/>
            <w:rFonts w:ascii="Times New Roman" w:hAnsi="Times New Roman" w:cs="Times New Roman"/>
            <w:color w:val="000000" w:themeColor="text1"/>
            <w:sz w:val="24"/>
            <w:szCs w:val="24"/>
          </w:rPr>
          <w:t>@</w:t>
        </w:r>
        <w:r w:rsidRPr="00B0138A">
          <w:rPr>
            <w:rStyle w:val="-"/>
            <w:rFonts w:ascii="Times New Roman" w:hAnsi="Times New Roman" w:cs="Times New Roman"/>
            <w:color w:val="000000" w:themeColor="text1"/>
            <w:sz w:val="24"/>
            <w:szCs w:val="24"/>
            <w:lang w:val="en-US"/>
          </w:rPr>
          <w:t>gmail</w:t>
        </w:r>
        <w:r w:rsidRPr="00B0138A">
          <w:rPr>
            <w:rStyle w:val="-"/>
            <w:rFonts w:ascii="Times New Roman" w:hAnsi="Times New Roman" w:cs="Times New Roman"/>
            <w:color w:val="000000" w:themeColor="text1"/>
            <w:sz w:val="24"/>
            <w:szCs w:val="24"/>
          </w:rPr>
          <w:t>.</w:t>
        </w:r>
        <w:r w:rsidRPr="00B0138A">
          <w:rPr>
            <w:rStyle w:val="-"/>
            <w:rFonts w:ascii="Times New Roman" w:hAnsi="Times New Roman" w:cs="Times New Roman"/>
            <w:color w:val="000000" w:themeColor="text1"/>
            <w:sz w:val="24"/>
            <w:szCs w:val="24"/>
            <w:lang w:val="en-US"/>
          </w:rPr>
          <w:t>com</w:t>
        </w:r>
      </w:hyperlink>
    </w:p>
    <w:p w:rsidR="00110406" w:rsidRDefault="00110406" w:rsidP="00A432C7">
      <w:pPr>
        <w:pStyle w:val="Default"/>
        <w:spacing w:line="360" w:lineRule="auto"/>
        <w:rPr>
          <w:b/>
          <w:bCs/>
          <w:sz w:val="28"/>
          <w:szCs w:val="28"/>
        </w:rPr>
      </w:pPr>
    </w:p>
    <w:p w:rsidR="00F65645" w:rsidRDefault="00F65645" w:rsidP="00A432C7">
      <w:pPr>
        <w:pStyle w:val="Default"/>
        <w:spacing w:line="360" w:lineRule="auto"/>
        <w:rPr>
          <w:b/>
          <w:bCs/>
          <w:sz w:val="28"/>
          <w:szCs w:val="28"/>
        </w:rPr>
      </w:pPr>
    </w:p>
    <w:p w:rsidR="00F65645" w:rsidRPr="00110406" w:rsidRDefault="00F65645" w:rsidP="00A432C7">
      <w:pPr>
        <w:pStyle w:val="Default"/>
        <w:spacing w:line="360" w:lineRule="auto"/>
        <w:rPr>
          <w:b/>
          <w:bCs/>
          <w:sz w:val="28"/>
          <w:szCs w:val="28"/>
        </w:rPr>
      </w:pPr>
    </w:p>
    <w:p w:rsidR="00800502" w:rsidRPr="00AB5697" w:rsidRDefault="00800502" w:rsidP="00F65645">
      <w:pPr>
        <w:pStyle w:val="Default"/>
        <w:spacing w:after="240" w:line="360" w:lineRule="auto"/>
        <w:rPr>
          <w:szCs w:val="28"/>
        </w:rPr>
      </w:pPr>
      <w:r w:rsidRPr="00AB5697">
        <w:rPr>
          <w:b/>
          <w:bCs/>
          <w:szCs w:val="28"/>
        </w:rPr>
        <w:t xml:space="preserve">1. Εισαγωγή </w:t>
      </w:r>
    </w:p>
    <w:p w:rsidR="00E60B05" w:rsidRDefault="00E60B05" w:rsidP="00F65645">
      <w:pPr>
        <w:spacing w:after="0" w:line="240" w:lineRule="auto"/>
        <w:ind w:firstLine="720"/>
        <w:jc w:val="both"/>
        <w:rPr>
          <w:rFonts w:ascii="Times New Roman" w:hAnsi="Times New Roman" w:cs="Times New Roman"/>
          <w:sz w:val="24"/>
          <w:szCs w:val="23"/>
        </w:rPr>
      </w:pPr>
      <w:r>
        <w:rPr>
          <w:rFonts w:ascii="Times New Roman" w:hAnsi="Times New Roman" w:cs="Times New Roman"/>
          <w:sz w:val="24"/>
          <w:szCs w:val="23"/>
        </w:rPr>
        <w:t>Με τα υπάρχοντ</w:t>
      </w:r>
      <w:r w:rsidR="00800502" w:rsidRPr="00D0310B">
        <w:rPr>
          <w:rFonts w:ascii="Times New Roman" w:hAnsi="Times New Roman" w:cs="Times New Roman"/>
          <w:sz w:val="24"/>
          <w:szCs w:val="23"/>
        </w:rPr>
        <w:t xml:space="preserve">α δεδομένα, ο κλάδος των εκπαιδευτικών της Δευτεροβάθμιας Εκπαίδευσης που εμπλέκονται στη διδασκαλία της Χημείας, χρειάζεται επιμόρφωση σε επαγγελματικά θέματα. </w:t>
      </w:r>
      <w:r w:rsidRPr="00E60B05">
        <w:rPr>
          <w:rFonts w:ascii="Times New Roman" w:hAnsi="Times New Roman" w:cs="Times New Roman"/>
          <w:sz w:val="24"/>
          <w:szCs w:val="23"/>
        </w:rPr>
        <w:t xml:space="preserve">Ως εκ τούτου θα μπορούσε η </w:t>
      </w:r>
      <w:r w:rsidR="00800502" w:rsidRPr="00E60B05">
        <w:rPr>
          <w:rFonts w:ascii="Times New Roman" w:hAnsi="Times New Roman" w:cs="Times New Roman"/>
          <w:sz w:val="24"/>
          <w:szCs w:val="23"/>
        </w:rPr>
        <w:t xml:space="preserve"> Ένωση Ελλήνων Χημικών, ο επαγγελματικός φορέας των χημικών στην Ελλάδα, </w:t>
      </w:r>
      <w:r w:rsidRPr="00E60B05">
        <w:rPr>
          <w:rFonts w:ascii="Times New Roman" w:hAnsi="Times New Roman" w:cs="Times New Roman"/>
          <w:sz w:val="24"/>
          <w:szCs w:val="23"/>
        </w:rPr>
        <w:t>να αναθέσ</w:t>
      </w:r>
      <w:r w:rsidR="00800502" w:rsidRPr="00E60B05">
        <w:rPr>
          <w:rFonts w:ascii="Times New Roman" w:hAnsi="Times New Roman" w:cs="Times New Roman"/>
          <w:sz w:val="24"/>
          <w:szCs w:val="23"/>
        </w:rPr>
        <w:t>ει τη σχεδίαση ενός Προγράμματος Επαγγελματικής Επιμόρφωσης διάρκειας 100 ωρών.</w:t>
      </w:r>
      <w:r w:rsidR="00800502" w:rsidRPr="00D0310B">
        <w:rPr>
          <w:rFonts w:ascii="Times New Roman" w:hAnsi="Times New Roman" w:cs="Times New Roman"/>
          <w:sz w:val="24"/>
          <w:szCs w:val="23"/>
        </w:rPr>
        <w:t xml:space="preserve"> Το πρώτο βήμα στη σχεδίαση ενός τέτοιου Προγράμματος είναι η διερεύνηση των εκπαιδευτικών αναγκών του πληθυσμού στόχου. Όταν οι ανάγκες διερευνηθούν με πολύ-μεθοδικό και επιστημονικό τρόπο και αποσαφηνιστούν, θα πρέπει, για την κάλυψη των αναγκών αυτών, να γίνει διαίρεση του Προγράμματος σε ένα σύνολο ενοτήτων.</w:t>
      </w:r>
    </w:p>
    <w:p w:rsidR="00800502" w:rsidRPr="00110406" w:rsidRDefault="00800502" w:rsidP="00F65645">
      <w:pPr>
        <w:spacing w:after="0" w:line="240" w:lineRule="auto"/>
        <w:ind w:firstLine="720"/>
        <w:jc w:val="both"/>
        <w:rPr>
          <w:rFonts w:ascii="Times New Roman" w:hAnsi="Times New Roman" w:cs="Times New Roman"/>
          <w:sz w:val="24"/>
          <w:szCs w:val="23"/>
        </w:rPr>
      </w:pPr>
      <w:r w:rsidRPr="00D0310B">
        <w:rPr>
          <w:rFonts w:ascii="Times New Roman" w:hAnsi="Times New Roman" w:cs="Times New Roman"/>
          <w:sz w:val="24"/>
          <w:szCs w:val="23"/>
        </w:rPr>
        <w:t>Με αυτή τη διαίρεση, το Πρόγραμμα δομείται με συγκεκριμένο τρόπο, όσο αφορά το περιεχόμενο και την χρονική διάρκεια και έτσι καλύπτονται οι ανάγκες των εκπαιδευομένων, επιδιώκεται η επίτευξη του σκοπού του Προγράμματος και των επιμέρους στόχων κάθε ενότητας. Μία εκπαιδευτική ενότητα του Προγράμματος, διάρκειας 10 ωρών, παρουσιάζεται ως προς τα θέματα που θα αναλυθούν σε αυτή, τη διάρκειά τους και τις γνώσεις που θα αποκτήσουν οι εκπαιδευόμενοι ή τις δραστηριότητες που θα μάθουν να επιτελούν. Οι κατάλληλες επιλογές εκπαιδευτικών τεχνικών και εποπτικών μέσων αναλύονται στη συνέχεια. Τέλος, η αξιολόγηση του Προγράμματος, η οποία είναι σημαντική, θα πρέπει να γίνει με την κατάλληλη επιλογή τύπου, μοντέλου και κατηγορίας αξιολόγησης.</w:t>
      </w:r>
    </w:p>
    <w:p w:rsidR="00F65645" w:rsidRDefault="00F65645">
      <w:pPr>
        <w:rPr>
          <w:rFonts w:ascii="Times New Roman" w:hAnsi="Times New Roman" w:cs="Times New Roman"/>
          <w:b/>
          <w:sz w:val="24"/>
          <w:szCs w:val="24"/>
        </w:rPr>
      </w:pPr>
      <w:r>
        <w:rPr>
          <w:rFonts w:ascii="Times New Roman" w:hAnsi="Times New Roman" w:cs="Times New Roman"/>
          <w:b/>
          <w:sz w:val="24"/>
          <w:szCs w:val="24"/>
        </w:rPr>
        <w:br w:type="page"/>
      </w:r>
    </w:p>
    <w:p w:rsidR="00860628" w:rsidRDefault="00960902" w:rsidP="00F65645">
      <w:pPr>
        <w:spacing w:before="240" w:line="240" w:lineRule="auto"/>
        <w:jc w:val="both"/>
        <w:rPr>
          <w:rFonts w:ascii="Times New Roman" w:hAnsi="Times New Roman" w:cs="Times New Roman"/>
          <w:b/>
          <w:sz w:val="24"/>
          <w:szCs w:val="24"/>
        </w:rPr>
      </w:pPr>
      <w:r w:rsidRPr="008D09AA">
        <w:rPr>
          <w:rFonts w:ascii="Times New Roman" w:hAnsi="Times New Roman" w:cs="Times New Roman"/>
          <w:b/>
          <w:sz w:val="24"/>
          <w:szCs w:val="24"/>
        </w:rPr>
        <w:lastRenderedPageBreak/>
        <w:t xml:space="preserve">2. </w:t>
      </w:r>
      <w:proofErr w:type="spellStart"/>
      <w:r w:rsidR="00DF1E35">
        <w:rPr>
          <w:rFonts w:ascii="Times New Roman" w:hAnsi="Times New Roman" w:cs="Times New Roman"/>
          <w:b/>
          <w:sz w:val="24"/>
          <w:szCs w:val="24"/>
        </w:rPr>
        <w:t>Μ</w:t>
      </w:r>
      <w:r w:rsidR="005F0CFD">
        <w:rPr>
          <w:rFonts w:ascii="Times New Roman" w:hAnsi="Times New Roman" w:cs="Times New Roman"/>
          <w:b/>
          <w:sz w:val="24"/>
          <w:szCs w:val="24"/>
        </w:rPr>
        <w:t>εθολογία</w:t>
      </w:r>
      <w:proofErr w:type="spellEnd"/>
      <w:r w:rsidR="005F0CFD">
        <w:rPr>
          <w:rFonts w:ascii="Times New Roman" w:hAnsi="Times New Roman" w:cs="Times New Roman"/>
          <w:b/>
          <w:sz w:val="24"/>
          <w:szCs w:val="24"/>
        </w:rPr>
        <w:t xml:space="preserve"> για το σχεδιασμό</w:t>
      </w:r>
      <w:r w:rsidR="008D09AA">
        <w:rPr>
          <w:rFonts w:ascii="Times New Roman" w:hAnsi="Times New Roman" w:cs="Times New Roman"/>
          <w:b/>
          <w:sz w:val="24"/>
          <w:szCs w:val="24"/>
        </w:rPr>
        <w:t xml:space="preserve"> Προγράμματος Επιμόρφωσης</w:t>
      </w:r>
    </w:p>
    <w:p w:rsidR="00F65645" w:rsidRDefault="00887D3C" w:rsidP="00F65645">
      <w:pPr>
        <w:pStyle w:val="Default"/>
        <w:spacing w:before="240" w:after="240"/>
        <w:jc w:val="both"/>
        <w:rPr>
          <w:b/>
          <w:bCs/>
        </w:rPr>
      </w:pPr>
      <w:r>
        <w:rPr>
          <w:b/>
          <w:bCs/>
        </w:rPr>
        <w:t>2</w:t>
      </w:r>
      <w:r w:rsidR="00800502" w:rsidRPr="00A432C7">
        <w:rPr>
          <w:b/>
          <w:bCs/>
        </w:rPr>
        <w:t>.</w:t>
      </w:r>
      <w:r w:rsidR="007A1761">
        <w:rPr>
          <w:b/>
          <w:bCs/>
        </w:rPr>
        <w:t>1.</w:t>
      </w:r>
      <w:r w:rsidR="00DB4068">
        <w:rPr>
          <w:b/>
          <w:bCs/>
        </w:rPr>
        <w:t xml:space="preserve"> Ανίχνευση εκπαιδευτικών αναγκών</w:t>
      </w:r>
    </w:p>
    <w:p w:rsidR="00800502" w:rsidRPr="00D34AA9" w:rsidRDefault="00D34AA9" w:rsidP="00F65645">
      <w:pPr>
        <w:pStyle w:val="Default"/>
        <w:ind w:firstLine="720"/>
        <w:jc w:val="both"/>
      </w:pPr>
      <w:r>
        <w:t xml:space="preserve"> </w:t>
      </w:r>
      <w:r w:rsidR="00800502" w:rsidRPr="00A432C7">
        <w:t xml:space="preserve">Όπως οι </w:t>
      </w:r>
      <w:proofErr w:type="spellStart"/>
      <w:r w:rsidR="00800502" w:rsidRPr="00A432C7">
        <w:t>Βεργίδης</w:t>
      </w:r>
      <w:proofErr w:type="spellEnd"/>
      <w:r w:rsidR="00800502" w:rsidRPr="00A432C7">
        <w:t xml:space="preserve"> και </w:t>
      </w:r>
      <w:proofErr w:type="spellStart"/>
      <w:r w:rsidR="00800502" w:rsidRPr="00A432C7">
        <w:t>Καραλής</w:t>
      </w:r>
      <w:proofErr w:type="spellEnd"/>
      <w:r w:rsidR="00800502" w:rsidRPr="00A432C7">
        <w:t xml:space="preserve"> (2008) αναφέρουν, οι εκπαιδευτικές ανάγκες διακρίνονται σε τρεις κατηγορίες: α) συνειδητές και ρητές, β) συνειδητές και μη ρητές και γ) λανθάνουσες. Με τη γνώση και τη διάκριση των εκπαιδευτικών αναγκών επιλέγουμε τις κατάλληλες μεθόδους και τεχνικές για την συλλογή και επεξεργασία στοιχείων. Η γνώση της ανάγκης για εκπαίδευση είναι συχνή στην ομάδα-στόχο, αλλά η ίδια η ομάδα-στόχος θα μπορούσε να μην γνωρίζει τις συγκεκριμένες εκπαιδευτικές της ανάγκες (</w:t>
      </w:r>
      <w:proofErr w:type="spellStart"/>
      <w:r w:rsidR="00800502" w:rsidRPr="00A432C7">
        <w:t>Βεργίδης</w:t>
      </w:r>
      <w:proofErr w:type="spellEnd"/>
      <w:r w:rsidR="00800502" w:rsidRPr="00A432C7">
        <w:t xml:space="preserve">, 1989). Οι εκπαιδευτικές ανάγκες θα πρέπει να διερευνηθούν με παράλληλη διερεύνηση των συμφερόντων και των κινήτρων της ομάδας-στόχου. Έτσι, διερευνούμε τις ανάγκες </w:t>
      </w:r>
      <w:proofErr w:type="spellStart"/>
      <w:r w:rsidR="00800502" w:rsidRPr="00A432C7">
        <w:t>πολυ</w:t>
      </w:r>
      <w:proofErr w:type="spellEnd"/>
      <w:r w:rsidR="00800502" w:rsidRPr="00A432C7">
        <w:t>-μεθοδικά και διεπιστημονικά. Χρειαζόμαστε τουλάχιστον δύο μεθόδους συλλογής στοιχείων (</w:t>
      </w:r>
      <w:proofErr w:type="spellStart"/>
      <w:r w:rsidR="00800502" w:rsidRPr="00A432C7">
        <w:t>πολυ</w:t>
      </w:r>
      <w:proofErr w:type="spellEnd"/>
      <w:r w:rsidR="00800502" w:rsidRPr="00A432C7">
        <w:t>-μεθοδική προσέγγιση), αλλά και διερεύνηση από επιστήμονες διαφόρων κλάδων (διεπιστημονική προσέγγιση) (</w:t>
      </w:r>
      <w:proofErr w:type="spellStart"/>
      <w:r w:rsidR="00800502" w:rsidRPr="00A432C7">
        <w:t>Βεργίδης</w:t>
      </w:r>
      <w:proofErr w:type="spellEnd"/>
      <w:r w:rsidR="00800502" w:rsidRPr="00A432C7">
        <w:t xml:space="preserve"> &amp; </w:t>
      </w:r>
      <w:proofErr w:type="spellStart"/>
      <w:r w:rsidR="00800502" w:rsidRPr="00A432C7">
        <w:t>Καραλής</w:t>
      </w:r>
      <w:proofErr w:type="spellEnd"/>
      <w:r w:rsidR="00800502" w:rsidRPr="00A432C7">
        <w:t>, 2008).</w:t>
      </w:r>
    </w:p>
    <w:p w:rsidR="00800502" w:rsidRPr="00A432C7" w:rsidRDefault="00800502" w:rsidP="00F65645">
      <w:pPr>
        <w:spacing w:after="0" w:line="240" w:lineRule="auto"/>
        <w:ind w:firstLine="720"/>
        <w:jc w:val="both"/>
        <w:rPr>
          <w:rFonts w:ascii="Times New Roman" w:hAnsi="Times New Roman" w:cs="Times New Roman"/>
          <w:sz w:val="24"/>
          <w:szCs w:val="24"/>
        </w:rPr>
      </w:pPr>
      <w:r w:rsidRPr="00A432C7">
        <w:rPr>
          <w:rFonts w:ascii="Times New Roman" w:hAnsi="Times New Roman" w:cs="Times New Roman"/>
          <w:sz w:val="24"/>
          <w:szCs w:val="24"/>
        </w:rPr>
        <w:t xml:space="preserve">Ο πληθυσμός που αποτελεί την ομάδα-στόχο είναι αριθμητικά πολύ μεγάλος και επιπλέον είναι γεωγραφικά διασκορπισμένος. Βρίσκεται να διδάσκει Χημεία σε όλα τα Γυμνάσια και Λύκεια της Ελλάδας. Σε αυτή την περίπτωση και όπως αναφέρουν οι </w:t>
      </w:r>
      <w:proofErr w:type="spellStart"/>
      <w:r w:rsidRPr="00A432C7">
        <w:rPr>
          <w:rFonts w:ascii="Times New Roman" w:hAnsi="Times New Roman" w:cs="Times New Roman"/>
          <w:sz w:val="24"/>
          <w:szCs w:val="24"/>
        </w:rPr>
        <w:t>Βεργίδης</w:t>
      </w:r>
      <w:proofErr w:type="spellEnd"/>
      <w:r w:rsidRPr="00A432C7">
        <w:rPr>
          <w:rFonts w:ascii="Times New Roman" w:hAnsi="Times New Roman" w:cs="Times New Roman"/>
          <w:sz w:val="24"/>
          <w:szCs w:val="24"/>
        </w:rPr>
        <w:t xml:space="preserve"> και </w:t>
      </w:r>
      <w:proofErr w:type="spellStart"/>
      <w:r w:rsidRPr="00A432C7">
        <w:rPr>
          <w:rFonts w:ascii="Times New Roman" w:hAnsi="Times New Roman" w:cs="Times New Roman"/>
          <w:sz w:val="24"/>
          <w:szCs w:val="24"/>
        </w:rPr>
        <w:t>Καραλής</w:t>
      </w:r>
      <w:proofErr w:type="spellEnd"/>
      <w:r w:rsidRPr="00A432C7">
        <w:rPr>
          <w:rFonts w:ascii="Times New Roman" w:hAnsi="Times New Roman" w:cs="Times New Roman"/>
          <w:sz w:val="24"/>
          <w:szCs w:val="24"/>
        </w:rPr>
        <w:t xml:space="preserve"> (2008), η δειγματοληψία κατά δεσμίδες, με επιλογή ενός συγκεκριμένου αριθμού σχολείων, στη διοικητική μας περιφέρεια, μπορεί να μας δώσει το κατάλληλο δείγμα διδασκόντων που θα απαντήσουν σε ερωτηματολόγιο που θα τους δοθεί. Το ερωτηματολόγιο θα περιέχει ερωτήσεις, τόσο κλειστού όσο και ανοικτού τύπου, προς διερεύνηση των επιμορφωτικών αναγκών. Επειδή όμως οι εκπαιδευτικές ανάγκες θα μπορούσε στην περίπτωσή μας να είναι μη ρητές ή λανθάνουσες, έτσι ώστε να μην μπορούν να δοθούν άμεσα έγκυρα αποτελέσματα από την επεξεργασία των ερωτηματολογίων, καθώς και για λόγους </w:t>
      </w:r>
      <w:proofErr w:type="spellStart"/>
      <w:r w:rsidRPr="00A432C7">
        <w:rPr>
          <w:rFonts w:ascii="Times New Roman" w:hAnsi="Times New Roman" w:cs="Times New Roman"/>
          <w:sz w:val="24"/>
          <w:szCs w:val="24"/>
        </w:rPr>
        <w:t>τριγωνοποίησης</w:t>
      </w:r>
      <w:proofErr w:type="spellEnd"/>
      <w:r w:rsidRPr="00A432C7">
        <w:rPr>
          <w:rFonts w:ascii="Times New Roman" w:hAnsi="Times New Roman" w:cs="Times New Roman"/>
          <w:sz w:val="24"/>
          <w:szCs w:val="24"/>
        </w:rPr>
        <w:t>, κρίνεται απαραίτητη και η παρατήρηση μιας ομάδας χημικών σε διάφορα σχολεία της Περιφέρειας.</w:t>
      </w:r>
    </w:p>
    <w:p w:rsidR="00800502" w:rsidRPr="00110406" w:rsidRDefault="00800502" w:rsidP="00F65645">
      <w:pPr>
        <w:spacing w:after="0" w:line="240" w:lineRule="auto"/>
        <w:ind w:firstLine="720"/>
        <w:jc w:val="both"/>
        <w:rPr>
          <w:rFonts w:ascii="Times New Roman" w:hAnsi="Times New Roman" w:cs="Times New Roman"/>
          <w:sz w:val="24"/>
          <w:szCs w:val="24"/>
        </w:rPr>
      </w:pPr>
      <w:r w:rsidRPr="00A432C7">
        <w:rPr>
          <w:rFonts w:ascii="Times New Roman" w:hAnsi="Times New Roman" w:cs="Times New Roman"/>
          <w:sz w:val="24"/>
          <w:szCs w:val="24"/>
        </w:rPr>
        <w:t>Με μη συμμετοχική παρατήρηση, ώστε να μην γίνεται γνωστή η ιδιότητά μας, παρατηρείται εάν κατά τη διδασκαλία της Χημείας, σε θεωρητικό, αλλά ιδιαίτερα σε εργαστηριακό επίπεδο, γίνεται η εφαρμογή των δώδεκα αρχών της Πράσινης Χημείας ή κάποιων από αυτών, όπως αναφέρονται (201</w:t>
      </w:r>
      <w:r w:rsidR="0075680C">
        <w:rPr>
          <w:rFonts w:ascii="Times New Roman" w:hAnsi="Times New Roman" w:cs="Times New Roman"/>
          <w:sz w:val="24"/>
          <w:szCs w:val="24"/>
        </w:rPr>
        <w:t>7</w:t>
      </w:r>
      <w:r w:rsidRPr="00A432C7">
        <w:rPr>
          <w:rFonts w:ascii="Times New Roman" w:hAnsi="Times New Roman" w:cs="Times New Roman"/>
          <w:sz w:val="24"/>
          <w:szCs w:val="24"/>
        </w:rPr>
        <w:t>) από το Ελληνικό Δίκτυο Πράσινης Χημείας. Ακολουθεί η σύγκριση των αποτελεσμάτων των δύο μεθόδων, με τη συνεργασία επιστημόνων και από άλλους κλάδους, όπως περιβαλλοντολόγων, ψυχολόγων και κοινωνιολόγων.</w:t>
      </w:r>
    </w:p>
    <w:p w:rsidR="00800502" w:rsidRDefault="00800502" w:rsidP="00F65645">
      <w:pPr>
        <w:spacing w:after="0" w:line="240" w:lineRule="auto"/>
        <w:ind w:firstLine="720"/>
        <w:jc w:val="both"/>
        <w:rPr>
          <w:rFonts w:ascii="Times New Roman" w:hAnsi="Times New Roman" w:cs="Times New Roman"/>
          <w:sz w:val="24"/>
          <w:szCs w:val="24"/>
        </w:rPr>
      </w:pPr>
      <w:r w:rsidRPr="00A432C7">
        <w:rPr>
          <w:rFonts w:ascii="Times New Roman" w:hAnsi="Times New Roman" w:cs="Times New Roman"/>
          <w:sz w:val="24"/>
          <w:szCs w:val="24"/>
        </w:rPr>
        <w:t>Έμφαση όμως θα πρέπει να δοθεί και στη διαπραγμάτευση των εκπαιδευτικών αναγκών από τους συντελεστές του Προγράμματος με τους ίδιους τους εκπαιδευομένους. Με τη διαπραγμάτευση ενισχύεται η διαθεσιμότητα των εκπαιδευομένων, αλλά και εξειδικεύονται οι προσωπικοί στόχοι και το περιεχόμενο του Προγράμματος. Επιπλέον, τα αναμενόμενα αποτελέσματα του Προγράμματος γίνονται πιο συγκεκριμένα (</w:t>
      </w:r>
      <w:proofErr w:type="spellStart"/>
      <w:r w:rsidRPr="00A432C7">
        <w:rPr>
          <w:rFonts w:ascii="Times New Roman" w:hAnsi="Times New Roman" w:cs="Times New Roman"/>
          <w:sz w:val="24"/>
          <w:szCs w:val="24"/>
        </w:rPr>
        <w:t>Βεργίδης</w:t>
      </w:r>
      <w:proofErr w:type="spellEnd"/>
      <w:r w:rsidRPr="00A432C7">
        <w:rPr>
          <w:rFonts w:ascii="Times New Roman" w:hAnsi="Times New Roman" w:cs="Times New Roman"/>
          <w:sz w:val="24"/>
          <w:szCs w:val="24"/>
        </w:rPr>
        <w:t xml:space="preserve"> &amp; </w:t>
      </w:r>
      <w:proofErr w:type="spellStart"/>
      <w:r w:rsidRPr="00A432C7">
        <w:rPr>
          <w:rFonts w:ascii="Times New Roman" w:hAnsi="Times New Roman" w:cs="Times New Roman"/>
          <w:sz w:val="24"/>
          <w:szCs w:val="24"/>
        </w:rPr>
        <w:t>Καραλής</w:t>
      </w:r>
      <w:proofErr w:type="spellEnd"/>
      <w:r w:rsidRPr="00A432C7">
        <w:rPr>
          <w:rFonts w:ascii="Times New Roman" w:hAnsi="Times New Roman" w:cs="Times New Roman"/>
          <w:sz w:val="24"/>
          <w:szCs w:val="24"/>
        </w:rPr>
        <w:t>, 2008).</w:t>
      </w:r>
    </w:p>
    <w:p w:rsidR="00F65645" w:rsidRDefault="00F65645" w:rsidP="00F65645">
      <w:pPr>
        <w:spacing w:after="0" w:line="240" w:lineRule="auto"/>
        <w:jc w:val="both"/>
        <w:rPr>
          <w:rFonts w:ascii="Times New Roman" w:hAnsi="Times New Roman" w:cs="Times New Roman"/>
          <w:sz w:val="24"/>
          <w:szCs w:val="24"/>
        </w:rPr>
      </w:pPr>
    </w:p>
    <w:p w:rsidR="00F65645" w:rsidRPr="00110406" w:rsidRDefault="00F65645" w:rsidP="00F65645">
      <w:pPr>
        <w:spacing w:after="0" w:line="240" w:lineRule="auto"/>
        <w:jc w:val="both"/>
        <w:rPr>
          <w:rFonts w:ascii="Times New Roman" w:hAnsi="Times New Roman" w:cs="Times New Roman"/>
          <w:sz w:val="24"/>
          <w:szCs w:val="24"/>
        </w:rPr>
      </w:pPr>
    </w:p>
    <w:p w:rsidR="00800502" w:rsidRPr="00A432C7" w:rsidRDefault="00122D4A" w:rsidP="00F65645">
      <w:pPr>
        <w:pStyle w:val="Default"/>
        <w:spacing w:after="240" w:line="360" w:lineRule="auto"/>
        <w:jc w:val="both"/>
      </w:pPr>
      <w:r>
        <w:rPr>
          <w:b/>
          <w:bCs/>
        </w:rPr>
        <w:t>2</w:t>
      </w:r>
      <w:r w:rsidR="007A1761">
        <w:rPr>
          <w:b/>
          <w:bCs/>
        </w:rPr>
        <w:t>.</w:t>
      </w:r>
      <w:r w:rsidR="00800502" w:rsidRPr="00A432C7">
        <w:rPr>
          <w:b/>
          <w:bCs/>
        </w:rPr>
        <w:t xml:space="preserve">2. Οι κυριότερες εκπαιδευτικές ανάγκες </w:t>
      </w:r>
    </w:p>
    <w:p w:rsidR="00800502" w:rsidRPr="00F67230" w:rsidRDefault="00800502" w:rsidP="00F65645">
      <w:pPr>
        <w:spacing w:after="0" w:line="240" w:lineRule="auto"/>
        <w:ind w:firstLine="720"/>
        <w:jc w:val="both"/>
        <w:rPr>
          <w:rFonts w:ascii="Times New Roman" w:hAnsi="Times New Roman" w:cs="Times New Roman"/>
          <w:sz w:val="24"/>
          <w:szCs w:val="24"/>
        </w:rPr>
      </w:pPr>
      <w:r w:rsidRPr="00A432C7">
        <w:rPr>
          <w:rFonts w:ascii="Times New Roman" w:hAnsi="Times New Roman" w:cs="Times New Roman"/>
          <w:sz w:val="24"/>
          <w:szCs w:val="24"/>
        </w:rPr>
        <w:t xml:space="preserve">Για την κάλυψη των εκπαιδευτικών αναγκών, καθώς και των συνολικών, αλλά και των επιμέρους στόχων του Προγράμματος, το ίδιο το Πρόγραμμα θα πρέπει να διαιρεθεί σε ένα σύνολο διδακτικών ενοτήτων. Η διαμόρφωση και η οργάνωση του περιεχομένου ενός προγράμματος περιλαμβάνει: α) τον καθορισμό του </w:t>
      </w:r>
      <w:r w:rsidRPr="00A432C7">
        <w:rPr>
          <w:rFonts w:ascii="Times New Roman" w:hAnsi="Times New Roman" w:cs="Times New Roman"/>
          <w:sz w:val="24"/>
          <w:szCs w:val="24"/>
        </w:rPr>
        <w:lastRenderedPageBreak/>
        <w:t xml:space="preserve">γενικότερου περιεχομένου, β) τη δημιουργία εκπαιδευτικών στόχων, γ) την κατανομή του σε διδακτικές ενότητες και δ) τον καθορισμό του χρόνου που θα κατανεμηθεί για κάθε διδακτική ενότητα (Κόκκος, </w:t>
      </w:r>
      <w:proofErr w:type="spellStart"/>
      <w:r w:rsidRPr="00A432C7">
        <w:rPr>
          <w:rFonts w:ascii="Times New Roman" w:hAnsi="Times New Roman" w:cs="Times New Roman"/>
          <w:sz w:val="24"/>
          <w:szCs w:val="24"/>
        </w:rPr>
        <w:t>Κουτρούμπα</w:t>
      </w:r>
      <w:proofErr w:type="spellEnd"/>
      <w:r w:rsidRPr="00A432C7">
        <w:rPr>
          <w:rFonts w:ascii="Times New Roman" w:hAnsi="Times New Roman" w:cs="Times New Roman"/>
          <w:sz w:val="24"/>
          <w:szCs w:val="24"/>
        </w:rPr>
        <w:t xml:space="preserve">, &amp; </w:t>
      </w:r>
      <w:proofErr w:type="spellStart"/>
      <w:r w:rsidRPr="00A432C7">
        <w:rPr>
          <w:rFonts w:ascii="Times New Roman" w:hAnsi="Times New Roman" w:cs="Times New Roman"/>
          <w:sz w:val="24"/>
          <w:szCs w:val="24"/>
        </w:rPr>
        <w:t>Καραλής</w:t>
      </w:r>
      <w:proofErr w:type="spellEnd"/>
      <w:r w:rsidRPr="00A432C7">
        <w:rPr>
          <w:rFonts w:ascii="Times New Roman" w:hAnsi="Times New Roman" w:cs="Times New Roman"/>
          <w:sz w:val="24"/>
          <w:szCs w:val="24"/>
        </w:rPr>
        <w:t>, 2010).</w:t>
      </w:r>
    </w:p>
    <w:p w:rsidR="00800502" w:rsidRPr="00D01607" w:rsidRDefault="00800502" w:rsidP="00F65645">
      <w:pPr>
        <w:spacing w:after="0" w:line="240" w:lineRule="auto"/>
        <w:ind w:firstLine="720"/>
        <w:jc w:val="both"/>
        <w:rPr>
          <w:rFonts w:ascii="Times New Roman" w:hAnsi="Times New Roman" w:cs="Times New Roman"/>
          <w:sz w:val="24"/>
          <w:szCs w:val="24"/>
        </w:rPr>
      </w:pPr>
      <w:r w:rsidRPr="00A432C7">
        <w:rPr>
          <w:rFonts w:ascii="Times New Roman" w:hAnsi="Times New Roman" w:cs="Times New Roman"/>
          <w:sz w:val="24"/>
          <w:szCs w:val="24"/>
        </w:rPr>
        <w:t>Σήμερα, μια νέα φιλοσοφία της Χημείας, η Πράσινη Χημεία, εφαρμόζει το ότι είναι καλύτερα να προλαμβάνεται η δημιουργία αποβλήτων και τοξικών ουσιών, παρά να αντιμετωπίζονται τα απόβλητα μετά τη δημιουργία τους με διάφορες κατεργασίες. Στο διαδικτυακό τόπο του Δικτύου Πράσινης Χημείας (201</w:t>
      </w:r>
      <w:r w:rsidR="00F3636E">
        <w:rPr>
          <w:rFonts w:ascii="Times New Roman" w:hAnsi="Times New Roman" w:cs="Times New Roman"/>
          <w:sz w:val="24"/>
          <w:szCs w:val="24"/>
        </w:rPr>
        <w:t>7</w:t>
      </w:r>
      <w:r w:rsidRPr="00A432C7">
        <w:rPr>
          <w:rFonts w:ascii="Times New Roman" w:hAnsi="Times New Roman" w:cs="Times New Roman"/>
          <w:sz w:val="24"/>
          <w:szCs w:val="24"/>
        </w:rPr>
        <w:t>), παρουσιάζονται οι τρεις πυλώνες που στηρίζεται η βιωσιμότητα και αναπτύσσεται η Πράσινη Χημεία. Αυτοί είναι: α) το περιβάλλον, β) η κοινωνία και γ) η οικονομία. Ο χημικός παράγει και χρησιμοποιεί υλικό, μεταξύ άλλων και για εκπαιδευτικούς σκοπούς, στη διάρκεια εκπαιδευτικών πειραμάτων στη Δευτεροβάθμια Εκπαίδευση. Ο ίδιος, γνωρίζοντας τη σημασία και τα προβλήματα που προκαλούνται από τη χρήση διαφόρων επικίνδυνων ουσιών και αναπτύσσοντας τόσο μεθόδους τεχνολογίας απορρύπανσης, όσο και νέες μεθόδους οικολογικής παρασκευής, είναι αυτός που καλείται να αντιμετωπίσει τα περιβαλλοντικά προβλήματα. Έτσι, οι εκπαιδευτικές ανάγκες του πληθυσμού στόχου θα προκύψουν επιδιώκοντας βιωσιμότητα και τοπική ανάπτυξη. Αυτό γίνεται αναζητώντας τα καθήκοντα, τις ευθύνες, τις δραστηριότητες και τις επαγγελματικές δεξιότητες των χημικών της Δευτεροβάθμιας Εκπαίδευσης.</w:t>
      </w:r>
    </w:p>
    <w:p w:rsidR="00800502" w:rsidRPr="00110406" w:rsidRDefault="00F65645" w:rsidP="00F65645">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w:t>
      </w:r>
      <w:r w:rsidR="00800502" w:rsidRPr="00A432C7">
        <w:rPr>
          <w:rFonts w:ascii="Times New Roman" w:hAnsi="Times New Roman" w:cs="Times New Roman"/>
          <w:sz w:val="24"/>
          <w:szCs w:val="24"/>
        </w:rPr>
        <w:t>Δεδομένου ότι η πλειοψηφία του πληθυσμού στόχου είναι μεγάλης ηλικίας, με πολλά έτη στην υπηρεσία, τα εκπαιδευτικά και επαγγελματικά χαρακτηριστικά των χημικών είναι τέτοια, ώστε συχνά να αγνοούν αφενός την ύπαρξη και αφετέρου να μην εφαρμόζουν τις δώδεκα αρχές της Πράσινης Χημείας. Με τα προβλήματα μάλιστα κάλυψης των αναγκών σε εκπαιδευτικό προσωπ</w:t>
      </w:r>
      <w:r w:rsidR="00A05C30">
        <w:rPr>
          <w:rFonts w:ascii="Times New Roman" w:hAnsi="Times New Roman" w:cs="Times New Roman"/>
          <w:sz w:val="24"/>
          <w:szCs w:val="24"/>
        </w:rPr>
        <w:t>ικό των τελευταίων χρόνων και τι</w:t>
      </w:r>
      <w:r w:rsidR="00800502" w:rsidRPr="00A432C7">
        <w:rPr>
          <w:rFonts w:ascii="Times New Roman" w:hAnsi="Times New Roman" w:cs="Times New Roman"/>
          <w:sz w:val="24"/>
          <w:szCs w:val="24"/>
        </w:rPr>
        <w:t xml:space="preserve">ς δεύτερες αναθέσεις της Χημείας σε επιστήμονες άλλων κλάδων, μη χημικοί καλούνται να διδάξουν Χημεία και να εκτελέσουν εργαστηριακές ασκήσεις σε αυτή. Αυτοί μάλιστα είναι συχνά ελάχιστα γνώστες της επιστήμης της Χημείας, πόσο μάλλον της Πράσινης Χημείας. Επιπλέον, η ανάγκη επαγγελματικής επιμόρφωσης κρίνεται απαραίτητη, αφού η Πράσινη Χημεία εισήχθη σχετικά πρόσφατα, κατά το ακαδημαϊκό έτος 2003-2004, στο προπτυχιακό πρόγραμμα σπουδών ορισμένων μόνο τμημάτων Χημείας της Ελλάδας (Βλαχογιάννη &amp; </w:t>
      </w:r>
      <w:proofErr w:type="spellStart"/>
      <w:r w:rsidR="00800502" w:rsidRPr="00A432C7">
        <w:rPr>
          <w:rFonts w:ascii="Times New Roman" w:hAnsi="Times New Roman" w:cs="Times New Roman"/>
          <w:sz w:val="24"/>
          <w:szCs w:val="24"/>
        </w:rPr>
        <w:t>Βαλαβανίδης</w:t>
      </w:r>
      <w:proofErr w:type="spellEnd"/>
      <w:r w:rsidR="00800502" w:rsidRPr="00A432C7">
        <w:rPr>
          <w:rFonts w:ascii="Times New Roman" w:hAnsi="Times New Roman" w:cs="Times New Roman"/>
          <w:sz w:val="24"/>
          <w:szCs w:val="24"/>
        </w:rPr>
        <w:t>, 2012).</w:t>
      </w:r>
    </w:p>
    <w:p w:rsidR="00800502" w:rsidRPr="00110406" w:rsidRDefault="00F65645" w:rsidP="00F65645">
      <w:pPr>
        <w:pStyle w:val="Default"/>
        <w:spacing w:after="240"/>
        <w:ind w:firstLine="720"/>
        <w:jc w:val="both"/>
      </w:pPr>
      <w:r>
        <w:t xml:space="preserve"> </w:t>
      </w:r>
      <w:r w:rsidR="00800502" w:rsidRPr="00A432C7">
        <w:t>Έτσι, ενώ μεγάλο ποσοστό των νέων αποφοίτων των τμημάτων αυτών είναι ενήμεροι και δραστήριοι στην Πράσινη Χημεία, δεν ασκούν στις μέρες μας το επάγγελμα του εκπαιδευτικού στη δημόσια Δευτεροβάθμια Εκπαίδευση. Οι παλαιότεροι, διορισμένοι στη Δευτεροβάθμια Εκπαίδευση χημικοί, θα μπορούσε να επιμορφωθούν πάνω στο αντικείμενο, με την κατάλληλη εκπαιδευτική υποδομή που υπάρχει στα σχολεία και με χρηματοδότηση του Προγράμματος Επιμόρφωσης, ώστε να καλύπτονται οι εκπαιδευτικές ανάγκες, όπως παρουσιάστηκαν προηγουμένως. Η προγενέστερη εμπειρία των συντελεστών του προγράμματος και η τεχνογνωσία ενός φορέα, όπως το Ελληνικό Δίκτυο Πράσινης Χημείας, καλείται να στηρίξει το εκπαιδευτικό πρόγραμμα (</w:t>
      </w:r>
      <w:proofErr w:type="spellStart"/>
      <w:r w:rsidR="00800502" w:rsidRPr="00A432C7">
        <w:t>Βεργίδης</w:t>
      </w:r>
      <w:proofErr w:type="spellEnd"/>
      <w:r w:rsidR="00800502" w:rsidRPr="00A432C7">
        <w:t xml:space="preserve"> &amp; </w:t>
      </w:r>
      <w:proofErr w:type="spellStart"/>
      <w:r w:rsidR="00800502" w:rsidRPr="00A432C7">
        <w:t>Καραλής</w:t>
      </w:r>
      <w:proofErr w:type="spellEnd"/>
      <w:r w:rsidR="00800502" w:rsidRPr="00A432C7">
        <w:t xml:space="preserve">, 2008). </w:t>
      </w:r>
    </w:p>
    <w:p w:rsidR="00F65645" w:rsidRDefault="00F65645" w:rsidP="00F65645">
      <w:pPr>
        <w:pStyle w:val="Default"/>
        <w:spacing w:before="240" w:after="240" w:line="360" w:lineRule="auto"/>
        <w:jc w:val="both"/>
        <w:rPr>
          <w:b/>
          <w:bCs/>
        </w:rPr>
      </w:pPr>
    </w:p>
    <w:p w:rsidR="00800502" w:rsidRPr="00A432C7" w:rsidRDefault="00122D4A" w:rsidP="00F65645">
      <w:pPr>
        <w:pStyle w:val="Default"/>
        <w:spacing w:before="240" w:after="240" w:line="360" w:lineRule="auto"/>
        <w:jc w:val="both"/>
      </w:pPr>
      <w:r>
        <w:rPr>
          <w:b/>
          <w:bCs/>
        </w:rPr>
        <w:t>2.3</w:t>
      </w:r>
      <w:r w:rsidR="00D874DB" w:rsidRPr="00122D4A">
        <w:rPr>
          <w:b/>
          <w:bCs/>
        </w:rPr>
        <w:t xml:space="preserve">. </w:t>
      </w:r>
      <w:r w:rsidR="00800502" w:rsidRPr="00122D4A">
        <w:rPr>
          <w:b/>
          <w:bCs/>
        </w:rPr>
        <w:t>Ο εκπαιδευτικός σκοπός του Προγράμματος</w:t>
      </w:r>
    </w:p>
    <w:p w:rsidR="00800502" w:rsidRPr="00567939" w:rsidRDefault="00800502" w:rsidP="00F65645">
      <w:pPr>
        <w:spacing w:after="0" w:line="240" w:lineRule="auto"/>
        <w:ind w:firstLine="720"/>
        <w:jc w:val="both"/>
        <w:rPr>
          <w:rFonts w:ascii="Times New Roman" w:hAnsi="Times New Roman" w:cs="Times New Roman"/>
          <w:sz w:val="24"/>
          <w:szCs w:val="24"/>
        </w:rPr>
      </w:pPr>
      <w:r w:rsidRPr="00A432C7">
        <w:rPr>
          <w:rFonts w:ascii="Times New Roman" w:hAnsi="Times New Roman" w:cs="Times New Roman"/>
          <w:sz w:val="24"/>
          <w:szCs w:val="24"/>
        </w:rPr>
        <w:t xml:space="preserve">Σκοπός του Προγράμματος Επαγγελματικής Επιμόρφωσης, σχετιζόμενου με την Πράσινη Χημεία, είναι οι εκπαιδευτικοί χημικοί της Δευτεροβάθμιας Εκπαίδευσης να κατανοήσουν πόσο συνυφασμένη είναι η επαγγελματική-εκπαιδευτική τους δραστηριότητα με το περιβάλλον </w:t>
      </w:r>
      <w:r w:rsidR="00957768">
        <w:rPr>
          <w:rFonts w:ascii="Times New Roman" w:hAnsi="Times New Roman" w:cs="Times New Roman"/>
          <w:sz w:val="24"/>
          <w:szCs w:val="24"/>
        </w:rPr>
        <w:t>και τη αειφόρο</w:t>
      </w:r>
      <w:r w:rsidR="00D01607" w:rsidRPr="00D01607">
        <w:rPr>
          <w:rFonts w:ascii="Times New Roman" w:hAnsi="Times New Roman" w:cs="Times New Roman"/>
          <w:sz w:val="24"/>
          <w:szCs w:val="24"/>
        </w:rPr>
        <w:t xml:space="preserve"> ανάπτυξη</w:t>
      </w:r>
      <w:r w:rsidRPr="00D01607">
        <w:rPr>
          <w:rFonts w:ascii="Times New Roman" w:hAnsi="Times New Roman" w:cs="Times New Roman"/>
          <w:sz w:val="24"/>
          <w:szCs w:val="24"/>
        </w:rPr>
        <w:t>. Να</w:t>
      </w:r>
      <w:r w:rsidRPr="00A432C7">
        <w:rPr>
          <w:rFonts w:ascii="Times New Roman" w:hAnsi="Times New Roman" w:cs="Times New Roman"/>
          <w:sz w:val="24"/>
          <w:szCs w:val="24"/>
        </w:rPr>
        <w:t xml:space="preserve"> </w:t>
      </w:r>
      <w:r w:rsidRPr="00A432C7">
        <w:rPr>
          <w:rFonts w:ascii="Times New Roman" w:hAnsi="Times New Roman" w:cs="Times New Roman"/>
          <w:sz w:val="24"/>
          <w:szCs w:val="24"/>
        </w:rPr>
        <w:lastRenderedPageBreak/>
        <w:t>ενστερνιστούν επίσης τις αρχές της Πράσινης Χημείας και να τις εφαρμόζουν, μεταλαμπαδεύοντάς τες στους μαθητές, μεριμνώντας έτσι στην προστασία του περιβάλλοντος, στην υγεία του ανθρώπου και τη διατήρηση της ποιότητας ζωής που έχει πετύχει η κοινωνία και μέσω της επιστήμης της Χημείας.</w:t>
      </w:r>
    </w:p>
    <w:p w:rsidR="00F65645" w:rsidRDefault="00F65645" w:rsidP="007A72A1">
      <w:pPr>
        <w:pStyle w:val="Default"/>
        <w:spacing w:line="360" w:lineRule="auto"/>
        <w:jc w:val="both"/>
        <w:rPr>
          <w:b/>
          <w:bCs/>
        </w:rPr>
      </w:pPr>
    </w:p>
    <w:p w:rsidR="00800502" w:rsidRPr="007A72A1" w:rsidRDefault="00122D4A" w:rsidP="00F65645">
      <w:pPr>
        <w:pStyle w:val="Default"/>
        <w:spacing w:after="240" w:line="360" w:lineRule="auto"/>
        <w:jc w:val="both"/>
      </w:pPr>
      <w:r>
        <w:rPr>
          <w:b/>
          <w:bCs/>
        </w:rPr>
        <w:t>2.4</w:t>
      </w:r>
      <w:r w:rsidR="00800502" w:rsidRPr="007A72A1">
        <w:rPr>
          <w:b/>
          <w:bCs/>
        </w:rPr>
        <w:t xml:space="preserve">. Οι εκπαιδευτικές ενότητες και η διάρκεια τους </w:t>
      </w:r>
    </w:p>
    <w:p w:rsidR="00800502" w:rsidRDefault="00800502" w:rsidP="00240986">
      <w:pPr>
        <w:spacing w:after="0" w:line="240" w:lineRule="auto"/>
        <w:ind w:firstLine="720"/>
        <w:jc w:val="both"/>
        <w:rPr>
          <w:rFonts w:ascii="Times New Roman" w:hAnsi="Times New Roman" w:cs="Times New Roman"/>
          <w:sz w:val="24"/>
          <w:szCs w:val="24"/>
        </w:rPr>
      </w:pPr>
      <w:r w:rsidRPr="007A72A1">
        <w:rPr>
          <w:rFonts w:ascii="Times New Roman" w:hAnsi="Times New Roman" w:cs="Times New Roman"/>
          <w:sz w:val="24"/>
          <w:szCs w:val="24"/>
        </w:rPr>
        <w:t>Οι εκπαιδευτικές ενότητες και η διάρκειά τους μπορούν να συνοψιστούν στον Πίνακα 1.</w:t>
      </w:r>
    </w:p>
    <w:p w:rsidR="00B930F6" w:rsidRDefault="00B930F6" w:rsidP="00240986">
      <w:pPr>
        <w:spacing w:after="0" w:line="240" w:lineRule="auto"/>
        <w:ind w:firstLine="720"/>
        <w:jc w:val="both"/>
        <w:rPr>
          <w:rFonts w:ascii="Times New Roman" w:hAnsi="Times New Roman" w:cs="Times New Roman"/>
          <w:sz w:val="24"/>
          <w:szCs w:val="24"/>
        </w:rPr>
      </w:pPr>
    </w:p>
    <w:p w:rsidR="00800502" w:rsidRPr="00D22836" w:rsidRDefault="00800502" w:rsidP="00D22836">
      <w:pPr>
        <w:spacing w:line="240" w:lineRule="auto"/>
        <w:jc w:val="both"/>
        <w:rPr>
          <w:rFonts w:ascii="Times New Roman" w:hAnsi="Times New Roman" w:cs="Times New Roman"/>
          <w:sz w:val="24"/>
          <w:szCs w:val="20"/>
        </w:rPr>
      </w:pPr>
      <w:r w:rsidRPr="00D22836">
        <w:rPr>
          <w:rFonts w:ascii="Times New Roman" w:hAnsi="Times New Roman" w:cs="Times New Roman"/>
          <w:b/>
          <w:bCs/>
          <w:sz w:val="24"/>
          <w:szCs w:val="20"/>
        </w:rPr>
        <w:t xml:space="preserve">Πίνακας 1: </w:t>
      </w:r>
      <w:r w:rsidRPr="00D22836">
        <w:rPr>
          <w:rFonts w:ascii="Times New Roman" w:hAnsi="Times New Roman" w:cs="Times New Roman"/>
          <w:sz w:val="24"/>
          <w:szCs w:val="20"/>
        </w:rPr>
        <w:t>Οι εκπαιδευτικές ενότητες του Προγράμματος Επαγγελματικής Επιμόρφωσης, σχετιζόμενο με την Πράσινη Χημεία.</w:t>
      </w:r>
    </w:p>
    <w:tbl>
      <w:tblPr>
        <w:tblW w:w="89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73"/>
        <w:gridCol w:w="1418"/>
      </w:tblGrid>
      <w:tr w:rsidR="00800502" w:rsidTr="00B930F6">
        <w:trPr>
          <w:trHeight w:val="188"/>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tcPr>
          <w:p w:rsidR="00800502" w:rsidRPr="00791CFC" w:rsidRDefault="00800502" w:rsidP="00B930F6">
            <w:pPr>
              <w:pStyle w:val="Default"/>
              <w:jc w:val="center"/>
              <w:rPr>
                <w:color w:val="FFFFFF" w:themeColor="background1"/>
                <w:sz w:val="20"/>
                <w:szCs w:val="20"/>
              </w:rPr>
            </w:pPr>
            <w:r w:rsidRPr="00791CFC">
              <w:rPr>
                <w:b/>
                <w:bCs/>
                <w:color w:val="FFFFFF" w:themeColor="background1"/>
                <w:sz w:val="20"/>
                <w:szCs w:val="20"/>
              </w:rPr>
              <w:t>Εκπαιδευτικές Ενότητες</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tcPr>
          <w:p w:rsidR="00800502" w:rsidRPr="00791CFC" w:rsidRDefault="00800502" w:rsidP="00B930F6">
            <w:pPr>
              <w:pStyle w:val="Default"/>
              <w:jc w:val="center"/>
              <w:rPr>
                <w:color w:val="FFFFFF" w:themeColor="background1"/>
                <w:sz w:val="20"/>
                <w:szCs w:val="20"/>
              </w:rPr>
            </w:pPr>
            <w:r w:rsidRPr="00791CFC">
              <w:rPr>
                <w:b/>
                <w:bCs/>
                <w:color w:val="FFFFFF" w:themeColor="background1"/>
                <w:sz w:val="20"/>
                <w:szCs w:val="20"/>
              </w:rPr>
              <w:t>Διάρκεια</w:t>
            </w:r>
          </w:p>
          <w:p w:rsidR="00800502" w:rsidRPr="00791CFC" w:rsidRDefault="00800502" w:rsidP="00B930F6">
            <w:pPr>
              <w:pStyle w:val="Default"/>
              <w:jc w:val="center"/>
              <w:rPr>
                <w:color w:val="FFFFFF" w:themeColor="background1"/>
                <w:sz w:val="20"/>
                <w:szCs w:val="20"/>
              </w:rPr>
            </w:pPr>
            <w:r w:rsidRPr="00791CFC">
              <w:rPr>
                <w:b/>
                <w:bCs/>
                <w:color w:val="FFFFFF" w:themeColor="background1"/>
                <w:sz w:val="20"/>
                <w:szCs w:val="20"/>
              </w:rPr>
              <w:t>(ώρες)</w:t>
            </w:r>
          </w:p>
        </w:tc>
      </w:tr>
      <w:tr w:rsidR="00780977" w:rsidTr="00B930F6">
        <w:trPr>
          <w:trHeight w:val="189"/>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80977" w:rsidRPr="00780977" w:rsidRDefault="00780977" w:rsidP="00B930F6">
            <w:pPr>
              <w:pStyle w:val="Default"/>
              <w:spacing w:before="240"/>
              <w:rPr>
                <w:sz w:val="20"/>
                <w:szCs w:val="20"/>
              </w:rPr>
            </w:pPr>
            <w:r w:rsidRPr="00780977">
              <w:rPr>
                <w:sz w:val="20"/>
                <w:szCs w:val="20"/>
              </w:rPr>
              <w:t xml:space="preserve">1) </w:t>
            </w:r>
            <w:r w:rsidR="00EF5543">
              <w:rPr>
                <w:sz w:val="20"/>
                <w:szCs w:val="20"/>
              </w:rPr>
              <w:t xml:space="preserve">Ενημέρωση. </w:t>
            </w:r>
            <w:proofErr w:type="spellStart"/>
            <w:r w:rsidR="00EF5543">
              <w:rPr>
                <w:sz w:val="20"/>
                <w:szCs w:val="20"/>
              </w:rPr>
              <w:t>Αλληλογνωριμία</w:t>
            </w:r>
            <w:proofErr w:type="spellEnd"/>
            <w:r w:rsidR="00EF5543">
              <w:rPr>
                <w:sz w:val="20"/>
                <w:szCs w:val="20"/>
              </w:rPr>
              <w:t>. Διαπραγμάτευση Αναγκών.</w:t>
            </w:r>
            <w:r>
              <w:rPr>
                <w:sz w:val="20"/>
                <w:szCs w:val="20"/>
              </w:rPr>
              <w:t xml:space="preserve"> Διαμόρφωση συμβολαίου μάθησης.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80977" w:rsidRPr="00206143" w:rsidRDefault="00780977" w:rsidP="00B930F6">
            <w:pPr>
              <w:pStyle w:val="Default"/>
              <w:spacing w:before="240"/>
              <w:jc w:val="center"/>
              <w:rPr>
                <w:sz w:val="20"/>
                <w:szCs w:val="20"/>
              </w:rPr>
            </w:pPr>
            <w:r>
              <w:rPr>
                <w:sz w:val="20"/>
                <w:szCs w:val="20"/>
              </w:rPr>
              <w:t>1</w:t>
            </w:r>
          </w:p>
        </w:tc>
      </w:tr>
      <w:tr w:rsidR="00800502" w:rsidTr="00B930F6">
        <w:trPr>
          <w:trHeight w:val="189"/>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2</w:t>
            </w:r>
            <w:r w:rsidR="00800502">
              <w:rPr>
                <w:sz w:val="20"/>
                <w:szCs w:val="20"/>
              </w:rPr>
              <w:t xml:space="preserve">) Στοιχεία για το Ελληνικό Δίκτυο Πράσινης Χημείας. Σύσταση Δικτύου και Ένωσης Ελλήνων Χημικών.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1</w:t>
            </w:r>
          </w:p>
        </w:tc>
      </w:tr>
      <w:tr w:rsidR="00800502" w:rsidTr="00B930F6">
        <w:trPr>
          <w:trHeight w:val="722"/>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3</w:t>
            </w:r>
            <w:r w:rsidR="00800502">
              <w:rPr>
                <w:sz w:val="20"/>
                <w:szCs w:val="20"/>
              </w:rPr>
              <w:t xml:space="preserve">) Τι είναι η Πράσινη Χημεία. Ενδεικτικά παραδείγματα θεματολογίας Πράσινης Χημείας.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3</w:t>
            </w:r>
          </w:p>
        </w:tc>
      </w:tr>
      <w:tr w:rsidR="00800502" w:rsidTr="00B930F6">
        <w:trPr>
          <w:trHeight w:val="83"/>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B930F6" w:rsidRDefault="00780977" w:rsidP="00B930F6">
            <w:pPr>
              <w:pStyle w:val="Default"/>
              <w:rPr>
                <w:sz w:val="20"/>
                <w:szCs w:val="20"/>
              </w:rPr>
            </w:pPr>
            <w:r w:rsidRPr="00CC460F">
              <w:rPr>
                <w:sz w:val="20"/>
                <w:szCs w:val="20"/>
              </w:rPr>
              <w:t>4</w:t>
            </w:r>
            <w:r w:rsidR="00800502">
              <w:rPr>
                <w:sz w:val="20"/>
                <w:szCs w:val="20"/>
              </w:rPr>
              <w:t xml:space="preserve">) Ανάλυση επικινδυνότητας. Φύλλα Πληροφοριών Ασφαλείας Υλικών.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8</w:t>
            </w:r>
          </w:p>
        </w:tc>
      </w:tr>
      <w:tr w:rsidR="00800502" w:rsidTr="00B930F6">
        <w:trPr>
          <w:trHeight w:val="878"/>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5</w:t>
            </w:r>
            <w:r w:rsidR="00800502">
              <w:rPr>
                <w:sz w:val="20"/>
                <w:szCs w:val="20"/>
              </w:rPr>
              <w:t xml:space="preserve">) Χαρακτηριστικά των διεργασιών που η Πράσινη Χημεία σχεδιάζει. Οι δώδεκα αρχές της Πράσινης Χημείας.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10</w:t>
            </w:r>
          </w:p>
        </w:tc>
      </w:tr>
      <w:tr w:rsidR="00800502" w:rsidTr="00B930F6">
        <w:trPr>
          <w:trHeight w:val="189"/>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6</w:t>
            </w:r>
            <w:r w:rsidR="00800502">
              <w:rPr>
                <w:sz w:val="20"/>
                <w:szCs w:val="20"/>
              </w:rPr>
              <w:t xml:space="preserve">) Εφαρμογές της Πράσινης Χημείας σήμερα και εισαγωγή της στην Εκπαίδευσης όλων των βαθμίδων.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10</w:t>
            </w:r>
          </w:p>
        </w:tc>
      </w:tr>
      <w:tr w:rsidR="00800502" w:rsidTr="00B930F6">
        <w:trPr>
          <w:trHeight w:val="189"/>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7</w:t>
            </w:r>
            <w:r w:rsidR="00800502">
              <w:rPr>
                <w:sz w:val="20"/>
                <w:szCs w:val="20"/>
              </w:rPr>
              <w:t xml:space="preserve">) Προτάσεις από φορείς για την εισαγωγή της Πράσινης Χημείας στην Δευτεροβάθμια Εκπαίδευση.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6</w:t>
            </w:r>
          </w:p>
        </w:tc>
      </w:tr>
      <w:tr w:rsidR="00800502" w:rsidTr="00B930F6">
        <w:trPr>
          <w:trHeight w:val="188"/>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8</w:t>
            </w:r>
            <w:r w:rsidR="00800502">
              <w:rPr>
                <w:sz w:val="20"/>
                <w:szCs w:val="20"/>
              </w:rPr>
              <w:t xml:space="preserve">) Επισήμανση ενοτήτων στα εκπαιδευτικά εγχειρίδια Χημείας και Περιβαλλοντικής Εκπαίδευσης με περιεχόμενο Πράσινης Χημείας.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20</w:t>
            </w:r>
          </w:p>
        </w:tc>
      </w:tr>
      <w:tr w:rsidR="00800502" w:rsidTr="00B930F6">
        <w:trPr>
          <w:trHeight w:val="296"/>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9</w:t>
            </w:r>
            <w:r w:rsidR="00800502">
              <w:rPr>
                <w:sz w:val="20"/>
                <w:szCs w:val="20"/>
              </w:rPr>
              <w:t xml:space="preserve">) Εισαγωγή «πράσινων» παραδειγμάτων και σύγκριση με αντίστοιχα κλασσικά παραδείγματα. Αντικατάσταση κλασσικών πειραμάτων με πειράματα Πράσινης Χημείας.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1</w:t>
            </w:r>
            <w:r w:rsidR="00780977">
              <w:rPr>
                <w:sz w:val="20"/>
                <w:szCs w:val="20"/>
              </w:rPr>
              <w:t>5</w:t>
            </w:r>
          </w:p>
        </w:tc>
      </w:tr>
      <w:tr w:rsidR="00800502" w:rsidTr="00B930F6">
        <w:trPr>
          <w:trHeight w:val="744"/>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sidRPr="00780977">
              <w:rPr>
                <w:sz w:val="20"/>
                <w:szCs w:val="20"/>
              </w:rPr>
              <w:t>10</w:t>
            </w:r>
            <w:r w:rsidR="00800502">
              <w:rPr>
                <w:sz w:val="20"/>
                <w:szCs w:val="20"/>
              </w:rPr>
              <w:t xml:space="preserve">) Δραστηριότητες Πράσινης Χημείας που μπορούν να ενταχθούν στα εργαστήρια.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10</w:t>
            </w:r>
          </w:p>
        </w:tc>
      </w:tr>
      <w:tr w:rsidR="00800502" w:rsidTr="00B930F6">
        <w:trPr>
          <w:trHeight w:val="403"/>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Default="00780977" w:rsidP="00B930F6">
            <w:pPr>
              <w:pStyle w:val="Default"/>
              <w:spacing w:before="240"/>
              <w:rPr>
                <w:sz w:val="20"/>
                <w:szCs w:val="20"/>
              </w:rPr>
            </w:pPr>
            <w:r>
              <w:rPr>
                <w:sz w:val="20"/>
                <w:szCs w:val="20"/>
              </w:rPr>
              <w:t>1</w:t>
            </w:r>
            <w:r w:rsidRPr="00CC460F">
              <w:rPr>
                <w:sz w:val="20"/>
                <w:szCs w:val="20"/>
              </w:rPr>
              <w:t>1</w:t>
            </w:r>
            <w:r w:rsidR="00800502">
              <w:rPr>
                <w:sz w:val="20"/>
                <w:szCs w:val="20"/>
              </w:rPr>
              <w:t xml:space="preserve">) Εκτέλεση «πράσινων» πειραμάτων. Εργαστηριακές επιδείξεις. </w:t>
            </w:r>
          </w:p>
          <w:p w:rsidR="00800502" w:rsidRDefault="00800502" w:rsidP="00B930F6">
            <w:pPr>
              <w:pStyle w:val="Default"/>
              <w:spacing w:before="240"/>
              <w:rPr>
                <w:sz w:val="20"/>
                <w:szCs w:val="20"/>
              </w:rPr>
            </w:pPr>
            <w:r>
              <w:rPr>
                <w:sz w:val="20"/>
                <w:szCs w:val="20"/>
              </w:rPr>
              <w:t xml:space="preserve">(Η ενότητα αυτή γίνεται καθ' όλη τη διάρκεια του Προγράμματος, με σύνδεση με τις υπόλοιπες ενότητες και αποτελεί το εργαστηριακό σκέλος του Προγράμματος) </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206143" w:rsidRDefault="00800502" w:rsidP="00B930F6">
            <w:pPr>
              <w:pStyle w:val="Default"/>
              <w:spacing w:before="240"/>
              <w:jc w:val="center"/>
              <w:rPr>
                <w:sz w:val="20"/>
                <w:szCs w:val="20"/>
              </w:rPr>
            </w:pPr>
            <w:r w:rsidRPr="00206143">
              <w:rPr>
                <w:sz w:val="20"/>
                <w:szCs w:val="20"/>
              </w:rPr>
              <w:t>1</w:t>
            </w:r>
            <w:r w:rsidR="00780977">
              <w:rPr>
                <w:sz w:val="20"/>
                <w:szCs w:val="20"/>
              </w:rPr>
              <w:t>5</w:t>
            </w:r>
          </w:p>
        </w:tc>
      </w:tr>
      <w:tr w:rsidR="00780977" w:rsidTr="00B930F6">
        <w:trPr>
          <w:trHeight w:val="403"/>
          <w:jc w:val="center"/>
        </w:trPr>
        <w:tc>
          <w:tcPr>
            <w:tcW w:w="7573"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80977" w:rsidRPr="00AA491E" w:rsidRDefault="00780977" w:rsidP="00B930F6">
            <w:pPr>
              <w:pStyle w:val="Default"/>
              <w:spacing w:before="240"/>
              <w:rPr>
                <w:sz w:val="20"/>
                <w:szCs w:val="20"/>
              </w:rPr>
            </w:pPr>
            <w:r>
              <w:rPr>
                <w:sz w:val="20"/>
                <w:szCs w:val="20"/>
                <w:lang w:val="en-US"/>
              </w:rPr>
              <w:t>12)</w:t>
            </w:r>
            <w:r w:rsidR="00AA491E">
              <w:rPr>
                <w:sz w:val="20"/>
                <w:szCs w:val="20"/>
              </w:rPr>
              <w:t xml:space="preserve"> Αξιολόγηση</w:t>
            </w:r>
          </w:p>
        </w:tc>
        <w:tc>
          <w:tcPr>
            <w:tcW w:w="1418"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780977" w:rsidRPr="00206143" w:rsidRDefault="00AA491E" w:rsidP="00B930F6">
            <w:pPr>
              <w:pStyle w:val="Default"/>
              <w:spacing w:before="240"/>
              <w:jc w:val="center"/>
              <w:rPr>
                <w:sz w:val="20"/>
                <w:szCs w:val="20"/>
              </w:rPr>
            </w:pPr>
            <w:r>
              <w:rPr>
                <w:sz w:val="20"/>
                <w:szCs w:val="20"/>
              </w:rPr>
              <w:t>1</w:t>
            </w:r>
          </w:p>
        </w:tc>
      </w:tr>
      <w:tr w:rsidR="00800502" w:rsidTr="00B930F6">
        <w:trPr>
          <w:trHeight w:val="646"/>
          <w:jc w:val="center"/>
        </w:trPr>
        <w:tc>
          <w:tcPr>
            <w:tcW w:w="8991" w:type="dxa"/>
            <w:gridSpan w:val="2"/>
            <w:tcBorders>
              <w:top w:val="single" w:sz="4" w:space="0" w:color="4F81BD" w:themeColor="accent1"/>
              <w:left w:val="single" w:sz="4" w:space="0" w:color="4F81BD" w:themeColor="accent1"/>
              <w:bottom w:val="single" w:sz="4" w:space="0" w:color="4F81BD" w:themeColor="accent1"/>
              <w:right w:val="single" w:sz="4" w:space="0" w:color="4F81BD" w:themeColor="accent1"/>
            </w:tcBorders>
            <w:vAlign w:val="center"/>
          </w:tcPr>
          <w:p w:rsidR="00800502" w:rsidRPr="00643D0F" w:rsidRDefault="00B930F6" w:rsidP="00B930F6">
            <w:pPr>
              <w:pStyle w:val="Default"/>
              <w:rPr>
                <w:b/>
                <w:sz w:val="20"/>
                <w:szCs w:val="20"/>
              </w:rPr>
            </w:pPr>
            <w:r w:rsidRPr="00643D0F">
              <w:rPr>
                <w:sz w:val="20"/>
                <w:szCs w:val="20"/>
              </w:rPr>
              <w:t xml:space="preserve">                                    </w:t>
            </w:r>
            <w:r w:rsidR="00643D0F">
              <w:rPr>
                <w:sz w:val="20"/>
                <w:szCs w:val="20"/>
              </w:rPr>
              <w:t xml:space="preserve">         </w:t>
            </w:r>
            <w:r w:rsidR="00800502" w:rsidRPr="00643D0F">
              <w:rPr>
                <w:b/>
                <w:sz w:val="20"/>
                <w:szCs w:val="20"/>
              </w:rPr>
              <w:t>Σύνολο:</w:t>
            </w:r>
            <w:r w:rsidRPr="00643D0F">
              <w:rPr>
                <w:b/>
                <w:sz w:val="20"/>
                <w:szCs w:val="20"/>
              </w:rPr>
              <w:t xml:space="preserve">        </w:t>
            </w:r>
            <w:r w:rsidR="0099777A" w:rsidRPr="00643D0F">
              <w:rPr>
                <w:b/>
                <w:sz w:val="20"/>
                <w:szCs w:val="20"/>
              </w:rPr>
              <w:t xml:space="preserve">                                                        </w:t>
            </w:r>
            <w:r w:rsidR="00374DA8" w:rsidRPr="00643D0F">
              <w:rPr>
                <w:b/>
                <w:sz w:val="20"/>
                <w:szCs w:val="20"/>
              </w:rPr>
              <w:t xml:space="preserve">          </w:t>
            </w:r>
            <w:r w:rsidR="00643D0F">
              <w:rPr>
                <w:b/>
                <w:sz w:val="20"/>
                <w:szCs w:val="20"/>
              </w:rPr>
              <w:t xml:space="preserve">                      </w:t>
            </w:r>
            <w:r w:rsidR="00374DA8" w:rsidRPr="00643D0F">
              <w:rPr>
                <w:b/>
                <w:sz w:val="20"/>
                <w:szCs w:val="20"/>
              </w:rPr>
              <w:t xml:space="preserve">   </w:t>
            </w:r>
            <w:r w:rsidR="0099777A" w:rsidRPr="00643D0F">
              <w:rPr>
                <w:b/>
                <w:sz w:val="20"/>
                <w:szCs w:val="20"/>
              </w:rPr>
              <w:t xml:space="preserve"> </w:t>
            </w:r>
            <w:r w:rsidR="00800502" w:rsidRPr="00643D0F">
              <w:rPr>
                <w:b/>
                <w:sz w:val="20"/>
                <w:szCs w:val="20"/>
              </w:rPr>
              <w:t xml:space="preserve"> 100 </w:t>
            </w:r>
          </w:p>
        </w:tc>
      </w:tr>
    </w:tbl>
    <w:p w:rsidR="00800502" w:rsidRDefault="00800502" w:rsidP="00800502">
      <w:pPr>
        <w:rPr>
          <w:sz w:val="23"/>
          <w:szCs w:val="23"/>
          <w:lang w:val="en-US"/>
        </w:rPr>
      </w:pPr>
    </w:p>
    <w:p w:rsidR="00800502" w:rsidRPr="00AB5697" w:rsidRDefault="00A17F10" w:rsidP="00F0267B">
      <w:pPr>
        <w:pStyle w:val="Default"/>
        <w:spacing w:before="240" w:after="240"/>
        <w:jc w:val="both"/>
      </w:pPr>
      <w:r w:rsidRPr="00AB5697">
        <w:rPr>
          <w:b/>
          <w:bCs/>
        </w:rPr>
        <w:lastRenderedPageBreak/>
        <w:t>2</w:t>
      </w:r>
      <w:r w:rsidR="00122D4A" w:rsidRPr="00AB5697">
        <w:rPr>
          <w:b/>
          <w:bCs/>
        </w:rPr>
        <w:t>.</w:t>
      </w:r>
      <w:r w:rsidRPr="00AB5697">
        <w:rPr>
          <w:b/>
          <w:bCs/>
        </w:rPr>
        <w:t>5.</w:t>
      </w:r>
      <w:r w:rsidR="00800502" w:rsidRPr="00AB5697">
        <w:rPr>
          <w:b/>
          <w:bCs/>
        </w:rPr>
        <w:t xml:space="preserve"> Σχεδιασμός της ενότητας «Χαρακτηριστικά των διεργασιών που η Πράσινη Χημεία σχεδιάζει. Οι δώδεκα αρχές της Πράσινης Χημείας» </w:t>
      </w:r>
    </w:p>
    <w:p w:rsidR="00800502" w:rsidRPr="00AB5697" w:rsidRDefault="00800502" w:rsidP="00240986">
      <w:pPr>
        <w:spacing w:after="0" w:line="240" w:lineRule="auto"/>
        <w:ind w:firstLine="720"/>
        <w:jc w:val="both"/>
        <w:rPr>
          <w:rFonts w:ascii="Times New Roman" w:hAnsi="Times New Roman" w:cs="Times New Roman"/>
          <w:sz w:val="24"/>
          <w:szCs w:val="24"/>
        </w:rPr>
      </w:pPr>
      <w:r w:rsidRPr="00AB5697">
        <w:rPr>
          <w:rFonts w:ascii="Times New Roman" w:hAnsi="Times New Roman" w:cs="Times New Roman"/>
          <w:sz w:val="24"/>
          <w:szCs w:val="24"/>
        </w:rPr>
        <w:t>Στη συνέχεια αναλύεται ο σχεδιασμός μιας από τις ενότητες του Προγράμματος Επαγγελματικής Επιμόρφωσης, προσδιορίζοντας αρχικά τους εκπαιδευτικούς της στόχους.</w:t>
      </w:r>
    </w:p>
    <w:p w:rsidR="00800502" w:rsidRPr="00D95A0E" w:rsidRDefault="00A17F10" w:rsidP="00F0267B">
      <w:pPr>
        <w:pStyle w:val="Default"/>
        <w:spacing w:before="240" w:after="240"/>
        <w:jc w:val="both"/>
        <w:rPr>
          <w:szCs w:val="28"/>
        </w:rPr>
      </w:pPr>
      <w:r>
        <w:rPr>
          <w:b/>
          <w:bCs/>
          <w:szCs w:val="28"/>
        </w:rPr>
        <w:t>2.5</w:t>
      </w:r>
      <w:r w:rsidR="00800502" w:rsidRPr="00D95A0E">
        <w:rPr>
          <w:b/>
          <w:bCs/>
          <w:szCs w:val="28"/>
        </w:rPr>
        <w:t xml:space="preserve">.1. Οι εκπαιδευτικοί στόχοι της ενότητας </w:t>
      </w:r>
    </w:p>
    <w:p w:rsidR="00D01607" w:rsidRDefault="00800502" w:rsidP="00240986">
      <w:pPr>
        <w:spacing w:after="0" w:line="240" w:lineRule="auto"/>
        <w:ind w:firstLine="720"/>
        <w:jc w:val="both"/>
        <w:rPr>
          <w:rFonts w:ascii="Times New Roman" w:hAnsi="Times New Roman" w:cs="Times New Roman"/>
          <w:sz w:val="24"/>
          <w:szCs w:val="24"/>
        </w:rPr>
      </w:pPr>
      <w:r w:rsidRPr="00AB5697">
        <w:rPr>
          <w:rFonts w:ascii="Times New Roman" w:hAnsi="Times New Roman" w:cs="Times New Roman"/>
          <w:sz w:val="24"/>
          <w:szCs w:val="24"/>
        </w:rPr>
        <w:t xml:space="preserve">Όπως αναφέρει η Γιαννακοπούλου (2006), οι στόχοι μιας διδακτικής ενότητας σχετίζονται με τα επιδιωκόμενα αποτελέσματα και αναφέρονται σε αυτά με σαφή και αναλυτικό τρόπο. Οι </w:t>
      </w:r>
      <w:proofErr w:type="spellStart"/>
      <w:r w:rsidRPr="00AB5697">
        <w:rPr>
          <w:rFonts w:ascii="Times New Roman" w:hAnsi="Times New Roman" w:cs="Times New Roman"/>
          <w:sz w:val="24"/>
          <w:szCs w:val="24"/>
        </w:rPr>
        <w:t>Βεργίδης</w:t>
      </w:r>
      <w:proofErr w:type="spellEnd"/>
      <w:r w:rsidRPr="00AB5697">
        <w:rPr>
          <w:rFonts w:ascii="Times New Roman" w:hAnsi="Times New Roman" w:cs="Times New Roman"/>
          <w:sz w:val="24"/>
          <w:szCs w:val="24"/>
        </w:rPr>
        <w:t xml:space="preserve"> και </w:t>
      </w:r>
      <w:proofErr w:type="spellStart"/>
      <w:r w:rsidRPr="00AB5697">
        <w:rPr>
          <w:rFonts w:ascii="Times New Roman" w:hAnsi="Times New Roman" w:cs="Times New Roman"/>
          <w:sz w:val="24"/>
          <w:szCs w:val="24"/>
        </w:rPr>
        <w:t>Καραλής</w:t>
      </w:r>
      <w:proofErr w:type="spellEnd"/>
      <w:r w:rsidRPr="00AB5697">
        <w:rPr>
          <w:rFonts w:ascii="Times New Roman" w:hAnsi="Times New Roman" w:cs="Times New Roman"/>
          <w:sz w:val="24"/>
          <w:szCs w:val="24"/>
        </w:rPr>
        <w:t xml:space="preserve"> (2008) αναφέρουν ότι οι στόχοι θα πρέπει να είναι συγκεκριμένοι και λειτουργικοί. Θα μπορούσε οι στόχοι να χωριστούν σε τρία βασικά επίπεδα: α) επίπεδο γνώσεων, β) επίπεδο ικανοτήτων και γ) επίπεδο στάσεων (Κόκκος κ. συν., 2010). Στην εκπαιδευτική ενότητα «Χαρακτηριστικά των διεργασιών που η Πράσινη Χημεία σχεδιάζει. Οι δώδεκα αρχές της Πράσινης Χημείας» οι εκπαιδευόμενοι θα είναι σε θέση να κατακτήσουν, καλλιεργήσουν και διαμορφώσουν τις παρακάτω γνώσεις, δεξιότητες και στάσεις που περιλαμβάνονται στο Πίνακα 2.</w:t>
      </w:r>
    </w:p>
    <w:p w:rsidR="00240986" w:rsidRPr="00AB5697" w:rsidRDefault="00240986" w:rsidP="00240986">
      <w:pPr>
        <w:spacing w:after="0" w:line="240" w:lineRule="auto"/>
        <w:ind w:firstLine="720"/>
        <w:jc w:val="both"/>
        <w:rPr>
          <w:sz w:val="24"/>
          <w:szCs w:val="24"/>
        </w:rPr>
      </w:pPr>
    </w:p>
    <w:p w:rsidR="00800502" w:rsidRPr="00D95A0E" w:rsidRDefault="00A17F10" w:rsidP="00240986">
      <w:pPr>
        <w:pStyle w:val="Default"/>
        <w:spacing w:before="240" w:after="240"/>
        <w:jc w:val="both"/>
        <w:rPr>
          <w:szCs w:val="28"/>
        </w:rPr>
      </w:pPr>
      <w:r>
        <w:rPr>
          <w:b/>
          <w:bCs/>
          <w:szCs w:val="28"/>
        </w:rPr>
        <w:t>2.5</w:t>
      </w:r>
      <w:r w:rsidR="00800502" w:rsidRPr="00D95A0E">
        <w:rPr>
          <w:b/>
          <w:bCs/>
          <w:szCs w:val="28"/>
        </w:rPr>
        <w:t xml:space="preserve">.2. Αναλυτικός σχεδιασμός της ενότητας </w:t>
      </w:r>
    </w:p>
    <w:p w:rsidR="00374DA8" w:rsidRDefault="00800502" w:rsidP="00374DA8">
      <w:pPr>
        <w:spacing w:after="0" w:line="240" w:lineRule="auto"/>
        <w:ind w:firstLine="720"/>
        <w:jc w:val="both"/>
        <w:rPr>
          <w:rFonts w:ascii="Times New Roman" w:hAnsi="Times New Roman" w:cs="Times New Roman"/>
          <w:b/>
          <w:bCs/>
          <w:sz w:val="24"/>
          <w:szCs w:val="23"/>
        </w:rPr>
      </w:pPr>
      <w:r w:rsidRPr="00AB5697">
        <w:rPr>
          <w:rFonts w:ascii="Times New Roman" w:hAnsi="Times New Roman" w:cs="Times New Roman"/>
          <w:sz w:val="24"/>
          <w:szCs w:val="23"/>
        </w:rPr>
        <w:t>Το αναλυτικό περιεχόμενο της ενότητας, όπως αυτό παρουσιάζεται στον Πίνακα 3, κρίθηκε από την ηλικία, το φύλο και το επίπεδο ενδεχόμενης μεταπτυχιακής εξειδίκευσης του πληθυσμού στόχου. Το θέματα που θα αναλυθούν είναι κατάλληλα για το προφίλ και τις εμπειρίες των εκπαιδευομένων. Όμως, η εξειδίκευση όσων διδάσκουν Χημεία στη Δευτεροβάθμια Εκπαίδευση, όπως και οι εμπειρίες τους, διαφέρουν. Επιπλέον, για τον αναλυτικό σχεδιασμό της ενότητας,</w:t>
      </w:r>
      <w:r w:rsidR="00BE409D" w:rsidRPr="00AB5697">
        <w:rPr>
          <w:rFonts w:ascii="Times New Roman" w:hAnsi="Times New Roman" w:cs="Times New Roman"/>
          <w:sz w:val="24"/>
          <w:szCs w:val="23"/>
        </w:rPr>
        <w:t xml:space="preserve"> </w:t>
      </w:r>
      <w:r w:rsidRPr="00AB5697">
        <w:rPr>
          <w:rFonts w:ascii="Times New Roman" w:hAnsi="Times New Roman" w:cs="Times New Roman"/>
          <w:sz w:val="24"/>
          <w:szCs w:val="23"/>
        </w:rPr>
        <w:t>ελήφθησαν υπόψη οι προδιαγραφές συγγραφής και δόμησης εκπαιδευτικού υλικού (</w:t>
      </w:r>
      <w:proofErr w:type="spellStart"/>
      <w:r w:rsidRPr="00AB5697">
        <w:rPr>
          <w:rFonts w:ascii="Times New Roman" w:hAnsi="Times New Roman" w:cs="Times New Roman"/>
          <w:sz w:val="24"/>
          <w:szCs w:val="23"/>
        </w:rPr>
        <w:t>Βεργίδης</w:t>
      </w:r>
      <w:proofErr w:type="spellEnd"/>
      <w:r w:rsidRPr="00AB5697">
        <w:rPr>
          <w:rFonts w:ascii="Times New Roman" w:hAnsi="Times New Roman" w:cs="Times New Roman"/>
          <w:sz w:val="24"/>
          <w:szCs w:val="23"/>
        </w:rPr>
        <w:t xml:space="preserve"> &amp; </w:t>
      </w:r>
      <w:proofErr w:type="spellStart"/>
      <w:r w:rsidRPr="00AB5697">
        <w:rPr>
          <w:rFonts w:ascii="Times New Roman" w:hAnsi="Times New Roman" w:cs="Times New Roman"/>
          <w:sz w:val="24"/>
          <w:szCs w:val="23"/>
        </w:rPr>
        <w:t>Καραλής</w:t>
      </w:r>
      <w:proofErr w:type="spellEnd"/>
      <w:r w:rsidRPr="00AB5697">
        <w:rPr>
          <w:rFonts w:ascii="Times New Roman" w:hAnsi="Times New Roman" w:cs="Times New Roman"/>
          <w:sz w:val="24"/>
          <w:szCs w:val="23"/>
        </w:rPr>
        <w:t xml:space="preserve">, 2008, Κόκκος κ. συν., 2010 &amp; </w:t>
      </w:r>
      <w:proofErr w:type="spellStart"/>
      <w:r w:rsidRPr="00AB5697">
        <w:rPr>
          <w:rFonts w:ascii="Times New Roman" w:hAnsi="Times New Roman" w:cs="Times New Roman"/>
          <w:sz w:val="24"/>
          <w:szCs w:val="23"/>
        </w:rPr>
        <w:t>Rogers</w:t>
      </w:r>
      <w:proofErr w:type="spellEnd"/>
      <w:r w:rsidRPr="00AB5697">
        <w:rPr>
          <w:rFonts w:ascii="Times New Roman" w:hAnsi="Times New Roman" w:cs="Times New Roman"/>
          <w:sz w:val="24"/>
          <w:szCs w:val="23"/>
        </w:rPr>
        <w:t xml:space="preserve">, 1999). Σε κάθε περίπτωση, ο σκοπός του Προγράμματος και οι διδακτικοί στόχοι της ενότητας, μας καθοδηγούν στο αναλυτικό περιεχόμενο και την χρονική διάρκεια για κάθε θέμα. </w:t>
      </w:r>
      <w:r w:rsidR="00374DA8">
        <w:rPr>
          <w:rFonts w:ascii="Times New Roman" w:hAnsi="Times New Roman" w:cs="Times New Roman"/>
          <w:b/>
          <w:bCs/>
          <w:sz w:val="24"/>
          <w:szCs w:val="23"/>
        </w:rPr>
        <w:br w:type="page"/>
      </w:r>
    </w:p>
    <w:p w:rsidR="00800502" w:rsidRDefault="00800502" w:rsidP="00240986">
      <w:pPr>
        <w:spacing w:after="0" w:line="240" w:lineRule="auto"/>
        <w:jc w:val="both"/>
        <w:rPr>
          <w:rFonts w:ascii="Times New Roman" w:hAnsi="Times New Roman" w:cs="Times New Roman"/>
          <w:sz w:val="24"/>
          <w:szCs w:val="23"/>
        </w:rPr>
      </w:pPr>
      <w:r w:rsidRPr="00D22836">
        <w:rPr>
          <w:rFonts w:ascii="Times New Roman" w:hAnsi="Times New Roman" w:cs="Times New Roman"/>
          <w:b/>
          <w:bCs/>
          <w:sz w:val="24"/>
          <w:szCs w:val="23"/>
        </w:rPr>
        <w:lastRenderedPageBreak/>
        <w:t xml:space="preserve">Πίνακας 2: </w:t>
      </w:r>
      <w:r w:rsidRPr="00D22836">
        <w:rPr>
          <w:rFonts w:ascii="Times New Roman" w:hAnsi="Times New Roman" w:cs="Times New Roman"/>
          <w:sz w:val="24"/>
          <w:szCs w:val="23"/>
        </w:rPr>
        <w:t>Οι εκπαιδευτικοί στόχοι της ενότητας «Χαρακτηριστικά των διεργασιών που η Πράσινη Χημεία σχεδιάζει. Οι δώδεκα αρχές της Πράσινης Χημείας».</w:t>
      </w:r>
    </w:p>
    <w:p w:rsidR="00240986" w:rsidRDefault="00240986" w:rsidP="00240986">
      <w:pPr>
        <w:spacing w:after="0" w:line="240" w:lineRule="auto"/>
        <w:jc w:val="both"/>
        <w:rPr>
          <w:rFonts w:ascii="Times New Roman" w:hAnsi="Times New Roman" w:cs="Times New Roman"/>
          <w:sz w:val="24"/>
          <w:szCs w:val="23"/>
        </w:rPr>
      </w:pPr>
    </w:p>
    <w:tbl>
      <w:tblPr>
        <w:tblW w:w="95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1"/>
        <w:gridCol w:w="3171"/>
        <w:gridCol w:w="3171"/>
      </w:tblGrid>
      <w:tr w:rsidR="00800502" w:rsidTr="00374DA8">
        <w:trPr>
          <w:trHeight w:val="80"/>
          <w:jc w:val="center"/>
        </w:trPr>
        <w:tc>
          <w:tcPr>
            <w:tcW w:w="31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tcPr>
          <w:p w:rsidR="00800502" w:rsidRPr="00B930F6" w:rsidRDefault="00800502" w:rsidP="002859EB">
            <w:pPr>
              <w:pStyle w:val="Default"/>
              <w:jc w:val="center"/>
              <w:rPr>
                <w:color w:val="FFFFFF" w:themeColor="background1"/>
                <w:sz w:val="20"/>
                <w:szCs w:val="20"/>
              </w:rPr>
            </w:pPr>
            <w:r w:rsidRPr="00B930F6">
              <w:rPr>
                <w:b/>
                <w:bCs/>
                <w:color w:val="FFFFFF" w:themeColor="background1"/>
                <w:sz w:val="20"/>
                <w:szCs w:val="20"/>
              </w:rPr>
              <w:t>Γνώσεις</w:t>
            </w:r>
          </w:p>
        </w:tc>
        <w:tc>
          <w:tcPr>
            <w:tcW w:w="31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shd w:val="clear" w:color="auto" w:fill="4F81BD" w:themeFill="accent1"/>
            <w:vAlign w:val="center"/>
          </w:tcPr>
          <w:p w:rsidR="00800502" w:rsidRPr="00B930F6" w:rsidRDefault="00800502" w:rsidP="002859EB">
            <w:pPr>
              <w:pStyle w:val="Default"/>
              <w:jc w:val="center"/>
              <w:rPr>
                <w:color w:val="FFFFFF" w:themeColor="background1"/>
                <w:sz w:val="20"/>
                <w:szCs w:val="20"/>
              </w:rPr>
            </w:pPr>
            <w:r w:rsidRPr="00B930F6">
              <w:rPr>
                <w:b/>
                <w:bCs/>
                <w:color w:val="FFFFFF" w:themeColor="background1"/>
                <w:sz w:val="20"/>
                <w:szCs w:val="20"/>
              </w:rPr>
              <w:t>Ικανότητες</w:t>
            </w:r>
          </w:p>
        </w:tc>
        <w:tc>
          <w:tcPr>
            <w:tcW w:w="3171" w:type="dxa"/>
            <w:tcBorders>
              <w:top w:val="single" w:sz="4" w:space="0" w:color="4F81BD" w:themeColor="accent1"/>
              <w:left w:val="single" w:sz="4" w:space="0" w:color="4F81BD" w:themeColor="accent1"/>
              <w:bottom w:val="single" w:sz="4" w:space="0" w:color="4F81BD" w:themeColor="accent1"/>
            </w:tcBorders>
            <w:shd w:val="clear" w:color="auto" w:fill="4F81BD" w:themeFill="accent1"/>
            <w:vAlign w:val="center"/>
          </w:tcPr>
          <w:p w:rsidR="00B930F6" w:rsidRDefault="00B930F6" w:rsidP="002859EB">
            <w:pPr>
              <w:pStyle w:val="Default"/>
              <w:jc w:val="center"/>
              <w:rPr>
                <w:b/>
                <w:bCs/>
                <w:color w:val="FFFFFF" w:themeColor="background1"/>
                <w:sz w:val="20"/>
                <w:szCs w:val="20"/>
              </w:rPr>
            </w:pPr>
          </w:p>
          <w:p w:rsidR="00800502" w:rsidRPr="00B930F6" w:rsidRDefault="00800502" w:rsidP="002859EB">
            <w:pPr>
              <w:pStyle w:val="Default"/>
              <w:jc w:val="center"/>
              <w:rPr>
                <w:b/>
                <w:bCs/>
                <w:color w:val="FFFFFF" w:themeColor="background1"/>
                <w:sz w:val="20"/>
                <w:szCs w:val="20"/>
              </w:rPr>
            </w:pPr>
            <w:r w:rsidRPr="00B930F6">
              <w:rPr>
                <w:b/>
                <w:bCs/>
                <w:color w:val="FFFFFF" w:themeColor="background1"/>
                <w:sz w:val="20"/>
                <w:szCs w:val="20"/>
              </w:rPr>
              <w:t>Στάσεις</w:t>
            </w:r>
          </w:p>
          <w:p w:rsidR="005F0CFD" w:rsidRPr="00B930F6" w:rsidRDefault="005F0CFD" w:rsidP="002859EB">
            <w:pPr>
              <w:pStyle w:val="Default"/>
              <w:jc w:val="center"/>
              <w:rPr>
                <w:color w:val="FFFFFF" w:themeColor="background1"/>
                <w:sz w:val="20"/>
                <w:szCs w:val="20"/>
              </w:rPr>
            </w:pPr>
          </w:p>
        </w:tc>
      </w:tr>
      <w:tr w:rsidR="00800502" w:rsidTr="00374DA8">
        <w:trPr>
          <w:trHeight w:val="897"/>
          <w:jc w:val="center"/>
        </w:trPr>
        <w:tc>
          <w:tcPr>
            <w:tcW w:w="31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00502" w:rsidRDefault="00800502" w:rsidP="00374DA8">
            <w:pPr>
              <w:pStyle w:val="Default"/>
              <w:spacing w:line="360" w:lineRule="auto"/>
              <w:rPr>
                <w:color w:val="auto"/>
              </w:rPr>
            </w:pPr>
          </w:p>
          <w:p w:rsidR="00800502" w:rsidRDefault="00800502" w:rsidP="00374DA8">
            <w:pPr>
              <w:pStyle w:val="Default"/>
              <w:spacing w:line="360" w:lineRule="auto"/>
              <w:rPr>
                <w:sz w:val="20"/>
                <w:szCs w:val="20"/>
              </w:rPr>
            </w:pPr>
            <w:r>
              <w:rPr>
                <w:sz w:val="20"/>
                <w:szCs w:val="20"/>
              </w:rPr>
              <w:t xml:space="preserve">• Να απαριθμούν κάποια από τα χαρακτηριστικά των διεργασιών που η Πράσινη Χημεία σχεδιάζει και κάποιες από τις δώδεκα αρχές της. </w:t>
            </w:r>
          </w:p>
          <w:p w:rsidR="00800502" w:rsidRDefault="00800502" w:rsidP="00374DA8">
            <w:pPr>
              <w:pStyle w:val="Default"/>
              <w:spacing w:line="360" w:lineRule="auto"/>
              <w:rPr>
                <w:sz w:val="20"/>
                <w:szCs w:val="20"/>
              </w:rPr>
            </w:pPr>
            <w:r>
              <w:rPr>
                <w:sz w:val="20"/>
                <w:szCs w:val="20"/>
              </w:rPr>
              <w:t xml:space="preserve">• Να συγκρίνουν διεργασίες που ενδεχομένως εφαρμόζουν, με διεργασίες που προτείνονται από την Πράσινη Χημεία. </w:t>
            </w:r>
          </w:p>
          <w:p w:rsidR="00800502" w:rsidRDefault="00800502" w:rsidP="00374DA8">
            <w:pPr>
              <w:pStyle w:val="Default"/>
              <w:spacing w:line="360" w:lineRule="auto"/>
              <w:rPr>
                <w:sz w:val="20"/>
                <w:szCs w:val="20"/>
              </w:rPr>
            </w:pPr>
            <w:r>
              <w:rPr>
                <w:sz w:val="20"/>
                <w:szCs w:val="20"/>
              </w:rPr>
              <w:t xml:space="preserve">• Να αναγνωρίζουν το ρόλο και το βαθμό ευθύνης τους στην αντιμετώπιση των περιβαλλοντικών προβλημάτων και προς την επίτευξη της βιωσιμότητας. </w:t>
            </w:r>
          </w:p>
          <w:p w:rsidR="00800502" w:rsidRDefault="00800502" w:rsidP="00374DA8">
            <w:pPr>
              <w:pStyle w:val="Default"/>
              <w:spacing w:line="360" w:lineRule="auto"/>
              <w:rPr>
                <w:sz w:val="20"/>
                <w:szCs w:val="20"/>
              </w:rPr>
            </w:pPr>
          </w:p>
        </w:tc>
        <w:tc>
          <w:tcPr>
            <w:tcW w:w="31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00502" w:rsidRDefault="00800502" w:rsidP="00374DA8">
            <w:pPr>
              <w:pStyle w:val="Default"/>
              <w:spacing w:line="360" w:lineRule="auto"/>
              <w:rPr>
                <w:color w:val="auto"/>
              </w:rPr>
            </w:pPr>
          </w:p>
          <w:p w:rsidR="00800502" w:rsidRDefault="00800502" w:rsidP="00374DA8">
            <w:pPr>
              <w:pStyle w:val="Default"/>
              <w:spacing w:line="360" w:lineRule="auto"/>
              <w:rPr>
                <w:sz w:val="20"/>
                <w:szCs w:val="20"/>
              </w:rPr>
            </w:pPr>
            <w:r>
              <w:rPr>
                <w:sz w:val="20"/>
                <w:szCs w:val="20"/>
              </w:rPr>
              <w:t xml:space="preserve">• Να εφαρμόζουν τις διεργασίες και τις μεθόδους σύνθεσης που προτείνει η Πράσινη Χημεία. </w:t>
            </w:r>
          </w:p>
          <w:p w:rsidR="00800502" w:rsidRDefault="00800502" w:rsidP="00374DA8">
            <w:pPr>
              <w:pStyle w:val="Default"/>
              <w:spacing w:line="360" w:lineRule="auto"/>
              <w:rPr>
                <w:sz w:val="20"/>
                <w:szCs w:val="20"/>
              </w:rPr>
            </w:pPr>
            <w:r>
              <w:rPr>
                <w:sz w:val="20"/>
                <w:szCs w:val="20"/>
              </w:rPr>
              <w:t xml:space="preserve">• Να μην χρησιμοποιούν ή παράγουν επικίνδυνες ή τοξικές ουσίες. </w:t>
            </w:r>
          </w:p>
          <w:p w:rsidR="00800502" w:rsidRDefault="00800502" w:rsidP="00374DA8">
            <w:pPr>
              <w:pStyle w:val="Default"/>
              <w:spacing w:line="360" w:lineRule="auto"/>
              <w:rPr>
                <w:sz w:val="20"/>
                <w:szCs w:val="20"/>
              </w:rPr>
            </w:pPr>
            <w:r>
              <w:rPr>
                <w:sz w:val="20"/>
                <w:szCs w:val="20"/>
              </w:rPr>
              <w:t xml:space="preserve">• Να χρησιμοποιούν μη τοξικούς διαλύτες. </w:t>
            </w:r>
          </w:p>
          <w:p w:rsidR="00800502" w:rsidRDefault="00800502" w:rsidP="00374DA8">
            <w:pPr>
              <w:pStyle w:val="Default"/>
              <w:spacing w:line="360" w:lineRule="auto"/>
              <w:rPr>
                <w:sz w:val="20"/>
                <w:szCs w:val="20"/>
              </w:rPr>
            </w:pPr>
            <w:r>
              <w:rPr>
                <w:sz w:val="20"/>
                <w:szCs w:val="20"/>
              </w:rPr>
              <w:t xml:space="preserve">• Να χρησιμοποιούν ανανεώσιμες πρώτες ύλες. </w:t>
            </w:r>
          </w:p>
          <w:p w:rsidR="00800502" w:rsidRDefault="00800502" w:rsidP="00374DA8">
            <w:pPr>
              <w:pStyle w:val="Default"/>
              <w:spacing w:line="360" w:lineRule="auto"/>
              <w:rPr>
                <w:sz w:val="20"/>
                <w:szCs w:val="20"/>
              </w:rPr>
            </w:pPr>
            <w:r>
              <w:rPr>
                <w:sz w:val="20"/>
                <w:szCs w:val="20"/>
              </w:rPr>
              <w:t xml:space="preserve">• Να σχεδιάζουν πειράματα Χημείας που απαιτούν λιγότερη ενέργεια. </w:t>
            </w:r>
          </w:p>
          <w:p w:rsidR="00800502" w:rsidRDefault="00800502" w:rsidP="00374DA8">
            <w:pPr>
              <w:pStyle w:val="Default"/>
              <w:spacing w:line="360" w:lineRule="auto"/>
              <w:rPr>
                <w:sz w:val="20"/>
                <w:szCs w:val="20"/>
              </w:rPr>
            </w:pPr>
          </w:p>
        </w:tc>
        <w:tc>
          <w:tcPr>
            <w:tcW w:w="3171" w:type="dxa"/>
            <w:tcBorders>
              <w:top w:val="single" w:sz="4" w:space="0" w:color="4F81BD" w:themeColor="accent1"/>
              <w:left w:val="single" w:sz="4" w:space="0" w:color="4F81BD" w:themeColor="accent1"/>
              <w:bottom w:val="single" w:sz="4" w:space="0" w:color="4F81BD" w:themeColor="accent1"/>
              <w:right w:val="single" w:sz="4" w:space="0" w:color="4F81BD" w:themeColor="accent1"/>
            </w:tcBorders>
          </w:tcPr>
          <w:p w:rsidR="00800502" w:rsidRDefault="00800502" w:rsidP="00374DA8">
            <w:pPr>
              <w:pStyle w:val="Default"/>
              <w:spacing w:line="360" w:lineRule="auto"/>
              <w:rPr>
                <w:color w:val="auto"/>
              </w:rPr>
            </w:pPr>
          </w:p>
          <w:p w:rsidR="00800502" w:rsidRDefault="00800502" w:rsidP="00374DA8">
            <w:pPr>
              <w:pStyle w:val="Default"/>
              <w:spacing w:line="360" w:lineRule="auto"/>
              <w:rPr>
                <w:sz w:val="20"/>
                <w:szCs w:val="20"/>
              </w:rPr>
            </w:pPr>
            <w:r>
              <w:rPr>
                <w:sz w:val="20"/>
                <w:szCs w:val="20"/>
              </w:rPr>
              <w:t xml:space="preserve">• Να εκτιμούν τις συνέπειες των συνήθων εκπαιδευτικών πρακτικών/πειραμάτων και τον αντίκτυπο αυτών στο περιβάλλον. </w:t>
            </w:r>
          </w:p>
          <w:p w:rsidR="00800502" w:rsidRDefault="00800502" w:rsidP="00374DA8">
            <w:pPr>
              <w:pStyle w:val="Default"/>
              <w:spacing w:line="360" w:lineRule="auto"/>
              <w:rPr>
                <w:sz w:val="20"/>
                <w:szCs w:val="20"/>
              </w:rPr>
            </w:pPr>
            <w:r>
              <w:rPr>
                <w:sz w:val="20"/>
                <w:szCs w:val="20"/>
              </w:rPr>
              <w:t xml:space="preserve">• Να υιοθετούν θετική ή θετικότερη στάση προς την Πράσινη Χημεία. </w:t>
            </w:r>
          </w:p>
          <w:p w:rsidR="00800502" w:rsidRDefault="00800502" w:rsidP="00374DA8">
            <w:pPr>
              <w:pStyle w:val="Default"/>
              <w:spacing w:line="360" w:lineRule="auto"/>
              <w:rPr>
                <w:sz w:val="20"/>
                <w:szCs w:val="20"/>
              </w:rPr>
            </w:pPr>
            <w:r>
              <w:rPr>
                <w:sz w:val="20"/>
                <w:szCs w:val="20"/>
              </w:rPr>
              <w:t xml:space="preserve">• Να απορρίπτουν ενδεχόμενες προηγούμενες εκπαιδευτικές πρακτικές, επιβαρυντικές για το περιβάλλον. </w:t>
            </w:r>
          </w:p>
          <w:p w:rsidR="00800502" w:rsidRDefault="00800502" w:rsidP="00374DA8">
            <w:pPr>
              <w:pStyle w:val="Default"/>
              <w:spacing w:line="360" w:lineRule="auto"/>
              <w:rPr>
                <w:sz w:val="20"/>
                <w:szCs w:val="20"/>
              </w:rPr>
            </w:pPr>
          </w:p>
        </w:tc>
      </w:tr>
    </w:tbl>
    <w:p w:rsidR="00800502" w:rsidRPr="00F65645" w:rsidRDefault="00800502" w:rsidP="00800502">
      <w:pPr>
        <w:rPr>
          <w:sz w:val="23"/>
          <w:szCs w:val="23"/>
        </w:rPr>
      </w:pPr>
    </w:p>
    <w:p w:rsidR="00902CCF" w:rsidRDefault="00800502" w:rsidP="00902CCF">
      <w:pPr>
        <w:spacing w:after="0" w:line="240" w:lineRule="auto"/>
        <w:ind w:firstLine="720"/>
        <w:jc w:val="both"/>
        <w:rPr>
          <w:rFonts w:ascii="Times New Roman" w:hAnsi="Times New Roman" w:cs="Times New Roman"/>
          <w:sz w:val="24"/>
          <w:szCs w:val="23"/>
        </w:rPr>
      </w:pPr>
      <w:r w:rsidRPr="00AB5697">
        <w:rPr>
          <w:rFonts w:ascii="Times New Roman" w:hAnsi="Times New Roman" w:cs="Times New Roman"/>
          <w:sz w:val="24"/>
          <w:szCs w:val="23"/>
        </w:rPr>
        <w:t xml:space="preserve">Οι εκπαιδευτικές τεχνικές επιλέγονται με τα εξής κριτήρια: α) τον εκπαιδευτικό σκοπό, β) την υφή του αντικειμένου, γ) τους μαθησιακούς τρόπους και τα εκπαιδευτικά χαρακτηριστικά των εκπαιδευομένων, δ) τις ικανότητες και τη στάση του εκπαιδευτικού, ε) το μαθησιακό κλίμα, </w:t>
      </w:r>
      <w:proofErr w:type="spellStart"/>
      <w:r w:rsidRPr="00AB5697">
        <w:rPr>
          <w:rFonts w:ascii="Times New Roman" w:hAnsi="Times New Roman" w:cs="Times New Roman"/>
          <w:sz w:val="24"/>
          <w:szCs w:val="23"/>
        </w:rPr>
        <w:t>στ</w:t>
      </w:r>
      <w:proofErr w:type="spellEnd"/>
      <w:r w:rsidRPr="00AB5697">
        <w:rPr>
          <w:rFonts w:ascii="Times New Roman" w:hAnsi="Times New Roman" w:cs="Times New Roman"/>
          <w:sz w:val="24"/>
          <w:szCs w:val="23"/>
        </w:rPr>
        <w:t>) το διαθέσιμο χρόνο και τη χρονική στιγμή και ζ) τους διαθέσιμους πόρους (Κόκκος κ. συν., 2010). Οι εκπαιδευόμενοι ευελπιστούμε να ανακαλύπτουν με τις δικές τους δυνάμεις τη γνωστική περιοχή, ώστε να υπάρχει εξέλιξη της διαδικασίας της μάθησης και μετά το τέλος του Προγράμματος. Αυτό μπορεί να γίνει εφαρμόζοντας συνδυασμό γρήγορων τεχνικών (εμπλουτισμένη εισήγηση, συζήτηση, καταιγισμός ιδεών), αλλά θα πρέπει να</w:t>
      </w:r>
      <w:r w:rsidR="007E2852" w:rsidRPr="00AB5697">
        <w:rPr>
          <w:rFonts w:ascii="Times New Roman" w:hAnsi="Times New Roman" w:cs="Times New Roman"/>
          <w:sz w:val="24"/>
          <w:szCs w:val="23"/>
        </w:rPr>
        <w:t xml:space="preserve"> </w:t>
      </w:r>
      <w:r w:rsidRPr="00AB5697">
        <w:rPr>
          <w:rFonts w:ascii="Times New Roman" w:hAnsi="Times New Roman" w:cs="Times New Roman"/>
          <w:sz w:val="24"/>
          <w:szCs w:val="23"/>
        </w:rPr>
        <w:t>προτιμηθούν οι συμμετοχικές τεχνικές κατά κόρων, για την επίτευξη του απώτερου σκοπού. Ιδιαίτερα με τη χρήση της προσομοίωσης, στοχεύουμε στην αναδιαμόρφωση στάσεων σχετικά με ζητήματα συμπεριφοράς, όπως αναφέρεται στο Κόκκος κ. συν. (2010).</w:t>
      </w:r>
      <w:r w:rsidR="005B228B" w:rsidRPr="00AB5697">
        <w:rPr>
          <w:rFonts w:ascii="Times New Roman" w:hAnsi="Times New Roman" w:cs="Times New Roman"/>
          <w:sz w:val="24"/>
          <w:szCs w:val="23"/>
        </w:rPr>
        <w:t xml:space="preserve"> </w:t>
      </w:r>
      <w:r w:rsidRPr="00AB5697">
        <w:rPr>
          <w:rFonts w:ascii="Times New Roman" w:hAnsi="Times New Roman" w:cs="Times New Roman"/>
          <w:sz w:val="24"/>
          <w:szCs w:val="23"/>
        </w:rPr>
        <w:t xml:space="preserve"> Παρόλο που η εισήγηση δεν ενδείκνυται για την επίτευξη στόχων στο επίπεδο των στάσεων και την ανάπτυξη νοητικών διεργασιών, όπως η ανάλυση, ο στοχασμός, η σύνθεση, η αξιολόγηση κτλ., μπορεί με σύντομες και περιεκτικές παρουσιάσεις να εμπλουτιστεί ο ρυθμός και να αποφευχθεί η πλήξη (Κόκκος κ. συν., 2010). Η εισήγηση θα μπορούσε να εμπλουτιστεί με ανάθεση στον εκπαιδευόμενο της ευθύνης της ενεργητικής ακρόασης. Η διαθεσιμότητα του εργαστηρίου Χημείας του σχολείου είναι απαραίτητη προϋπόθεση για την διεξαγωγή του συγκεκριμένου Προγράμματος. Εκεί θα εφαρμοστεί η τεχνική της επίδειξης. Απαιτείται η ενεργός εμπλοκή των εκπαιδευομένων στο εργαστήριο, ώστε και οι ίδιοι να αισθανθούν, να δουν, να ακούσουν ή να αγγίξουν το σχετικό αντικείμενο της εκπαίδευσης, επαναλαμβάνοντας τα όσα βήματα έχουν εξεταστεί (Κόκκος κ. συν., 2010).</w:t>
      </w:r>
    </w:p>
    <w:p w:rsidR="00187BA0" w:rsidRPr="00AB5697" w:rsidRDefault="00800502" w:rsidP="00902CCF">
      <w:pPr>
        <w:spacing w:after="0" w:line="240" w:lineRule="auto"/>
        <w:ind w:firstLine="720"/>
        <w:jc w:val="both"/>
        <w:rPr>
          <w:rFonts w:ascii="Times New Roman" w:hAnsi="Times New Roman" w:cs="Times New Roman"/>
          <w:sz w:val="24"/>
          <w:szCs w:val="23"/>
        </w:rPr>
      </w:pPr>
      <w:r w:rsidRPr="00AB5697">
        <w:rPr>
          <w:rFonts w:ascii="Times New Roman" w:hAnsi="Times New Roman" w:cs="Times New Roman"/>
          <w:sz w:val="24"/>
          <w:szCs w:val="23"/>
        </w:rPr>
        <w:lastRenderedPageBreak/>
        <w:t xml:space="preserve">Με τα εποπτικά μέσα συντελείται η έμμεση καθοδήγηση στη διαδικασία της μάθησης (Καψάλης &amp; </w:t>
      </w:r>
      <w:proofErr w:type="spellStart"/>
      <w:r w:rsidRPr="00AB5697">
        <w:rPr>
          <w:rFonts w:ascii="Times New Roman" w:hAnsi="Times New Roman" w:cs="Times New Roman"/>
          <w:sz w:val="24"/>
          <w:szCs w:val="23"/>
        </w:rPr>
        <w:t>Παπασταμάτης</w:t>
      </w:r>
      <w:proofErr w:type="spellEnd"/>
      <w:r w:rsidRPr="00AB5697">
        <w:rPr>
          <w:rFonts w:ascii="Times New Roman" w:hAnsi="Times New Roman" w:cs="Times New Roman"/>
          <w:sz w:val="24"/>
          <w:szCs w:val="23"/>
        </w:rPr>
        <w:t xml:space="preserve">). Στη μεγάλη επιφάνεια του πίνακα μπορεί να γίνει σύνθεση των απόψεων των εκπαιδευομένων, </w:t>
      </w:r>
      <w:r w:rsidR="001B6B3B" w:rsidRPr="00AB5697">
        <w:rPr>
          <w:rFonts w:ascii="Times New Roman" w:hAnsi="Times New Roman" w:cs="Times New Roman"/>
          <w:sz w:val="24"/>
          <w:szCs w:val="23"/>
        </w:rPr>
        <w:t xml:space="preserve"> </w:t>
      </w:r>
      <w:r w:rsidRPr="00AB5697">
        <w:rPr>
          <w:rFonts w:ascii="Times New Roman" w:hAnsi="Times New Roman" w:cs="Times New Roman"/>
          <w:sz w:val="24"/>
          <w:szCs w:val="23"/>
        </w:rPr>
        <w:t>με ποικιλία χρωμάτων με τη χρήση μαρκαδόρων ή κιμωλιών διαφορετικού χρώματος. Με το μηχάνημα προβολής μέσω Η/Υ, τα δεδομένα από τον Η/Υ προβάλλονται γρήγορα και με ταχύτητα, ενώ η σταδιακή αποκάλυψη εικόνας και κειμένου, σε συνδυασμό με τη δυνατότητα προβολής βίντεο με εικόνα και ήχο, ενισχύουν τις δυνατότητες μάθησης (Κόκκος κ. συν., 2010). Το πρόγραμμα Η/Υ προσομοίωσης χημικών αντιδράσεων, θα ήταν μια ευκαιρία για την υποκίνηση τους ενδιαφέροντος των εκπαιδευομένων, για περεταίρω χρήση παρόμοιων εφαρμογών προσομοίωσης, αλλά και εφαρμογής της νέας γνώσης που τους προσφέρεται μέσω του Προγράμματος στο εκπαιδευτικό τους έργο.</w:t>
      </w:r>
    </w:p>
    <w:p w:rsidR="00902CCF" w:rsidRDefault="00902CCF" w:rsidP="00D22836">
      <w:pPr>
        <w:spacing w:line="240" w:lineRule="auto"/>
        <w:rPr>
          <w:rFonts w:ascii="Times New Roman" w:hAnsi="Times New Roman" w:cs="Times New Roman"/>
          <w:b/>
          <w:bCs/>
          <w:sz w:val="24"/>
          <w:szCs w:val="23"/>
        </w:rPr>
      </w:pPr>
    </w:p>
    <w:p w:rsidR="00902CCF" w:rsidRDefault="00902CCF">
      <w:pPr>
        <w:rPr>
          <w:rFonts w:ascii="Times New Roman" w:hAnsi="Times New Roman" w:cs="Times New Roman"/>
          <w:b/>
          <w:bCs/>
          <w:sz w:val="24"/>
          <w:szCs w:val="23"/>
        </w:rPr>
      </w:pPr>
      <w:r>
        <w:rPr>
          <w:rFonts w:ascii="Times New Roman" w:hAnsi="Times New Roman" w:cs="Times New Roman"/>
          <w:b/>
          <w:bCs/>
          <w:sz w:val="24"/>
          <w:szCs w:val="23"/>
        </w:rPr>
        <w:br w:type="page"/>
      </w:r>
    </w:p>
    <w:p w:rsidR="00800502" w:rsidRDefault="00800502" w:rsidP="00902CCF">
      <w:pPr>
        <w:spacing w:after="0" w:line="240" w:lineRule="auto"/>
        <w:rPr>
          <w:rFonts w:ascii="Times New Roman" w:hAnsi="Times New Roman" w:cs="Times New Roman"/>
          <w:sz w:val="24"/>
          <w:szCs w:val="23"/>
        </w:rPr>
      </w:pPr>
      <w:r w:rsidRPr="00D22836">
        <w:rPr>
          <w:rFonts w:ascii="Times New Roman" w:hAnsi="Times New Roman" w:cs="Times New Roman"/>
          <w:b/>
          <w:bCs/>
          <w:sz w:val="24"/>
          <w:szCs w:val="23"/>
        </w:rPr>
        <w:lastRenderedPageBreak/>
        <w:t xml:space="preserve">Πίνακας 3: </w:t>
      </w:r>
      <w:r w:rsidRPr="00D22836">
        <w:rPr>
          <w:rFonts w:ascii="Times New Roman" w:hAnsi="Times New Roman" w:cs="Times New Roman"/>
          <w:sz w:val="24"/>
          <w:szCs w:val="23"/>
        </w:rPr>
        <w:t>Αναλυτικός σχεδιασμός της ενότητας «Χαρακτηριστικά των διεργασιών που η Πράσινη Χημεία σχεδιάζει. Οι δώδ</w:t>
      </w:r>
      <w:r w:rsidR="00AC6961">
        <w:rPr>
          <w:rFonts w:ascii="Times New Roman" w:hAnsi="Times New Roman" w:cs="Times New Roman"/>
          <w:sz w:val="24"/>
          <w:szCs w:val="23"/>
        </w:rPr>
        <w:t>εκα αρχές της Πράσινης Χημείας».</w:t>
      </w:r>
    </w:p>
    <w:p w:rsidR="00AC6961" w:rsidRPr="00D22836" w:rsidRDefault="00AC6961" w:rsidP="00902CCF">
      <w:pPr>
        <w:spacing w:after="0" w:line="240" w:lineRule="auto"/>
        <w:rPr>
          <w:rFonts w:ascii="Times New Roman" w:hAnsi="Times New Roman" w:cs="Times New Roman"/>
          <w:sz w:val="24"/>
          <w:szCs w:val="23"/>
        </w:rPr>
      </w:pPr>
    </w:p>
    <w:tbl>
      <w:tblPr>
        <w:tblStyle w:val="-11"/>
        <w:tblpPr w:leftFromText="180" w:rightFromText="180" w:vertAnchor="text" w:horzAnchor="margin" w:tblpXSpec="center" w:tblpY="249"/>
        <w:tblW w:w="11200" w:type="dxa"/>
        <w:tblLayout w:type="fixed"/>
        <w:tblLook w:val="01E0" w:firstRow="1" w:lastRow="1" w:firstColumn="1" w:lastColumn="1" w:noHBand="0" w:noVBand="0"/>
      </w:tblPr>
      <w:tblGrid>
        <w:gridCol w:w="2660"/>
        <w:gridCol w:w="1417"/>
        <w:gridCol w:w="3666"/>
        <w:gridCol w:w="1728"/>
        <w:gridCol w:w="1729"/>
      </w:tblGrid>
      <w:tr w:rsidR="0045140B" w:rsidRPr="00DF4CEA" w:rsidTr="00902CCF">
        <w:trPr>
          <w:cnfStyle w:val="100000000000" w:firstRow="1" w:lastRow="0" w:firstColumn="0" w:lastColumn="0" w:oddVBand="0" w:evenVBand="0" w:oddHBand="0" w:evenHBand="0" w:firstRowFirstColumn="0" w:firstRowLastColumn="0" w:lastRowFirstColumn="0" w:lastRowLastColumn="0"/>
          <w:trHeight w:val="1114"/>
        </w:trPr>
        <w:tc>
          <w:tcPr>
            <w:cnfStyle w:val="001000000000" w:firstRow="0" w:lastRow="0" w:firstColumn="1" w:lastColumn="0" w:oddVBand="0" w:evenVBand="0" w:oddHBand="0" w:evenHBand="0" w:firstRowFirstColumn="0" w:firstRowLastColumn="0" w:lastRowFirstColumn="0" w:lastRowLastColumn="0"/>
            <w:tcW w:w="2660" w:type="dxa"/>
            <w:vAlign w:val="center"/>
          </w:tcPr>
          <w:p w:rsidR="0045140B" w:rsidRPr="00DF4CEA" w:rsidRDefault="0045140B" w:rsidP="00532A9D">
            <w:pPr>
              <w:spacing w:line="360" w:lineRule="auto"/>
              <w:jc w:val="center"/>
              <w:rPr>
                <w:rFonts w:ascii="Times New Roman" w:hAnsi="Times New Roman"/>
                <w:b w:val="0"/>
                <w:sz w:val="20"/>
                <w:szCs w:val="20"/>
              </w:rPr>
            </w:pPr>
            <w:r w:rsidRPr="00DF4CEA">
              <w:rPr>
                <w:rFonts w:ascii="Times New Roman" w:hAnsi="Times New Roman"/>
                <w:sz w:val="20"/>
                <w:szCs w:val="20"/>
              </w:rPr>
              <w:t>Θέματα</w:t>
            </w:r>
          </w:p>
          <w:p w:rsidR="0045140B" w:rsidRPr="00DF4CEA" w:rsidRDefault="0045140B" w:rsidP="00532A9D">
            <w:pPr>
              <w:spacing w:line="360" w:lineRule="auto"/>
              <w:jc w:val="center"/>
              <w:rPr>
                <w:rFonts w:ascii="Times New Roman" w:hAnsi="Times New Roman"/>
                <w:b w:val="0"/>
                <w:sz w:val="20"/>
                <w:szCs w:val="20"/>
              </w:rPr>
            </w:pPr>
            <w:r w:rsidRPr="00DF4CEA">
              <w:rPr>
                <w:rFonts w:ascii="Times New Roman" w:hAnsi="Times New Roman"/>
                <w:sz w:val="20"/>
                <w:szCs w:val="20"/>
              </w:rPr>
              <w:t>που θα αναλυθούν</w:t>
            </w:r>
          </w:p>
          <w:p w:rsidR="0045140B" w:rsidRPr="00DF4CEA" w:rsidRDefault="0045140B" w:rsidP="00532A9D">
            <w:pPr>
              <w:spacing w:line="360" w:lineRule="auto"/>
              <w:jc w:val="center"/>
              <w:rPr>
                <w:rFonts w:ascii="Times New Roman" w:hAnsi="Times New Roman"/>
                <w:sz w:val="20"/>
                <w:szCs w:val="20"/>
              </w:rPr>
            </w:pPr>
            <w:r w:rsidRPr="00DF4CEA">
              <w:rPr>
                <w:rFonts w:ascii="Times New Roman" w:hAnsi="Times New Roman"/>
                <w:sz w:val="20"/>
                <w:szCs w:val="20"/>
              </w:rPr>
              <w:t>(Θεωρητικές γνώσεις ή/ και πρακτικές ασκήσεις)</w:t>
            </w:r>
          </w:p>
        </w:tc>
        <w:tc>
          <w:tcPr>
            <w:cnfStyle w:val="000010000000" w:firstRow="0" w:lastRow="0" w:firstColumn="0" w:lastColumn="0" w:oddVBand="1" w:evenVBand="0" w:oddHBand="0" w:evenHBand="0" w:firstRowFirstColumn="0" w:firstRowLastColumn="0" w:lastRowFirstColumn="0" w:lastRowLastColumn="0"/>
            <w:tcW w:w="1417" w:type="dxa"/>
            <w:vAlign w:val="center"/>
          </w:tcPr>
          <w:p w:rsidR="0045140B" w:rsidRPr="00DF4CEA" w:rsidRDefault="0045140B" w:rsidP="00532A9D">
            <w:pPr>
              <w:spacing w:line="360" w:lineRule="auto"/>
              <w:jc w:val="center"/>
              <w:rPr>
                <w:rFonts w:ascii="Times New Roman" w:hAnsi="Times New Roman"/>
                <w:b w:val="0"/>
                <w:sz w:val="20"/>
                <w:szCs w:val="20"/>
              </w:rPr>
            </w:pPr>
            <w:r w:rsidRPr="00DF4CEA">
              <w:rPr>
                <w:rFonts w:ascii="Times New Roman" w:hAnsi="Times New Roman"/>
                <w:sz w:val="20"/>
                <w:szCs w:val="20"/>
              </w:rPr>
              <w:t>Χρονική διάρκεια για κάθε θέμα</w:t>
            </w:r>
            <w:r>
              <w:rPr>
                <w:rFonts w:ascii="Times New Roman" w:hAnsi="Times New Roman"/>
                <w:sz w:val="20"/>
                <w:szCs w:val="20"/>
              </w:rPr>
              <w:t xml:space="preserve"> </w:t>
            </w:r>
            <w:r w:rsidRPr="00DF4CEA">
              <w:rPr>
                <w:rFonts w:ascii="Times New Roman" w:hAnsi="Times New Roman"/>
                <w:sz w:val="20"/>
                <w:szCs w:val="20"/>
              </w:rPr>
              <w:t>(ώρες)</w:t>
            </w:r>
          </w:p>
        </w:tc>
        <w:tc>
          <w:tcPr>
            <w:tcW w:w="3666" w:type="dxa"/>
            <w:vAlign w:val="center"/>
          </w:tcPr>
          <w:p w:rsidR="0045140B" w:rsidRPr="00DF4CEA" w:rsidRDefault="0045140B" w:rsidP="00532A9D">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b w:val="0"/>
                <w:sz w:val="20"/>
                <w:szCs w:val="20"/>
              </w:rPr>
            </w:pPr>
            <w:r w:rsidRPr="00DF4CEA">
              <w:rPr>
                <w:rFonts w:ascii="Times New Roman" w:hAnsi="Times New Roman"/>
                <w:sz w:val="20"/>
                <w:szCs w:val="20"/>
              </w:rPr>
              <w:t>Γνώσεις που χρειάζεται να αποκτήσουν οι εκπαιδευόμενοι ή/ και δραστηριότητες που πρέπει να μάθουν να επιτελούν</w:t>
            </w:r>
          </w:p>
        </w:tc>
        <w:tc>
          <w:tcPr>
            <w:cnfStyle w:val="000010000000" w:firstRow="0" w:lastRow="0" w:firstColumn="0" w:lastColumn="0" w:oddVBand="1" w:evenVBand="0" w:oddHBand="0" w:evenHBand="0" w:firstRowFirstColumn="0" w:firstRowLastColumn="0" w:lastRowFirstColumn="0" w:lastRowLastColumn="0"/>
            <w:tcW w:w="1728" w:type="dxa"/>
            <w:vAlign w:val="center"/>
          </w:tcPr>
          <w:p w:rsidR="0045140B" w:rsidRPr="00DF4CEA" w:rsidRDefault="0045140B" w:rsidP="00532A9D">
            <w:pPr>
              <w:spacing w:line="360" w:lineRule="auto"/>
              <w:jc w:val="center"/>
              <w:rPr>
                <w:rFonts w:ascii="Times New Roman" w:hAnsi="Times New Roman"/>
                <w:b w:val="0"/>
                <w:sz w:val="20"/>
                <w:szCs w:val="20"/>
              </w:rPr>
            </w:pPr>
            <w:r w:rsidRPr="00DF4CEA">
              <w:rPr>
                <w:rFonts w:ascii="Times New Roman" w:hAnsi="Times New Roman"/>
                <w:sz w:val="20"/>
                <w:szCs w:val="20"/>
              </w:rPr>
              <w:t>Εκπαιδευτικές τεχνικές που θα εφαρμοστούν σε κάθε θέμα</w:t>
            </w:r>
          </w:p>
        </w:tc>
        <w:tc>
          <w:tcPr>
            <w:cnfStyle w:val="000100000000" w:firstRow="0" w:lastRow="0" w:firstColumn="0" w:lastColumn="1" w:oddVBand="0" w:evenVBand="0" w:oddHBand="0" w:evenHBand="0" w:firstRowFirstColumn="0" w:firstRowLastColumn="0" w:lastRowFirstColumn="0" w:lastRowLastColumn="0"/>
            <w:tcW w:w="1729" w:type="dxa"/>
            <w:vAlign w:val="center"/>
          </w:tcPr>
          <w:p w:rsidR="0045140B" w:rsidRPr="00DF4CEA" w:rsidRDefault="0045140B" w:rsidP="00532A9D">
            <w:pPr>
              <w:spacing w:line="360" w:lineRule="auto"/>
              <w:jc w:val="center"/>
              <w:rPr>
                <w:rFonts w:ascii="Times New Roman" w:hAnsi="Times New Roman"/>
                <w:b w:val="0"/>
                <w:sz w:val="20"/>
                <w:szCs w:val="20"/>
              </w:rPr>
            </w:pPr>
            <w:r w:rsidRPr="00DF4CEA">
              <w:rPr>
                <w:rFonts w:ascii="Times New Roman" w:hAnsi="Times New Roman"/>
                <w:sz w:val="20"/>
                <w:szCs w:val="20"/>
              </w:rPr>
              <w:t>Εποπτικά μέσα</w:t>
            </w:r>
          </w:p>
          <w:p w:rsidR="0045140B" w:rsidRDefault="0045140B" w:rsidP="00532A9D">
            <w:pPr>
              <w:spacing w:line="360" w:lineRule="auto"/>
              <w:jc w:val="center"/>
              <w:rPr>
                <w:rFonts w:ascii="Times New Roman" w:hAnsi="Times New Roman"/>
                <w:sz w:val="20"/>
                <w:szCs w:val="20"/>
              </w:rPr>
            </w:pPr>
            <w:r w:rsidRPr="00DF4CEA">
              <w:rPr>
                <w:rFonts w:ascii="Times New Roman" w:hAnsi="Times New Roman"/>
                <w:sz w:val="20"/>
                <w:szCs w:val="20"/>
              </w:rPr>
              <w:t xml:space="preserve">που θα </w:t>
            </w:r>
          </w:p>
          <w:p w:rsidR="0045140B" w:rsidRPr="00DF4CEA" w:rsidRDefault="0045140B" w:rsidP="00532A9D">
            <w:pPr>
              <w:spacing w:line="360" w:lineRule="auto"/>
              <w:jc w:val="center"/>
              <w:rPr>
                <w:rFonts w:ascii="Times New Roman" w:hAnsi="Times New Roman"/>
                <w:sz w:val="20"/>
                <w:szCs w:val="20"/>
              </w:rPr>
            </w:pPr>
            <w:r w:rsidRPr="00DF4CEA">
              <w:rPr>
                <w:rFonts w:ascii="Times New Roman" w:hAnsi="Times New Roman"/>
                <w:sz w:val="20"/>
                <w:szCs w:val="20"/>
              </w:rPr>
              <w:t>αξιοποιηθούν</w:t>
            </w:r>
          </w:p>
        </w:tc>
      </w:tr>
      <w:tr w:rsidR="0045140B" w:rsidRPr="00DF4CEA" w:rsidTr="00902CCF">
        <w:trPr>
          <w:cnfStyle w:val="000000100000" w:firstRow="0" w:lastRow="0" w:firstColumn="0" w:lastColumn="0" w:oddVBand="0" w:evenVBand="0" w:oddHBand="1" w:evenHBand="0" w:firstRowFirstColumn="0" w:firstRowLastColumn="0" w:lastRowFirstColumn="0" w:lastRowLastColumn="0"/>
          <w:trHeight w:val="2215"/>
        </w:trPr>
        <w:tc>
          <w:tcPr>
            <w:cnfStyle w:val="001000000000" w:firstRow="0" w:lastRow="0" w:firstColumn="1" w:lastColumn="0" w:oddVBand="0" w:evenVBand="0" w:oddHBand="0" w:evenHBand="0" w:firstRowFirstColumn="0" w:firstRowLastColumn="0" w:lastRowFirstColumn="0" w:lastRowLastColumn="0"/>
            <w:tcW w:w="2660" w:type="dxa"/>
            <w:tcBorders>
              <w:right w:val="single" w:sz="4" w:space="0" w:color="FFFFFF" w:themeColor="background1"/>
            </w:tcBorders>
            <w:vAlign w:val="center"/>
          </w:tcPr>
          <w:p w:rsidR="0045140B" w:rsidRPr="00902CCF" w:rsidRDefault="0045140B" w:rsidP="00532A9D">
            <w:pPr>
              <w:rPr>
                <w:rFonts w:ascii="Times New Roman" w:hAnsi="Times New Roman" w:cs="Times New Roman"/>
                <w:sz w:val="19"/>
                <w:szCs w:val="19"/>
              </w:rPr>
            </w:pPr>
            <w:r w:rsidRPr="00902CCF">
              <w:rPr>
                <w:rFonts w:ascii="Times New Roman" w:hAnsi="Times New Roman" w:cs="Times New Roman"/>
                <w:sz w:val="19"/>
                <w:szCs w:val="19"/>
              </w:rPr>
              <w:t xml:space="preserve">1.  Απόβλητα: Τοξικότητα και διαχείριση αυτών. </w:t>
            </w:r>
          </w:p>
          <w:p w:rsidR="0045140B" w:rsidRPr="00902CCF" w:rsidRDefault="0045140B" w:rsidP="00532A9D">
            <w:pPr>
              <w:rPr>
                <w:rFonts w:ascii="Times New Roman" w:hAnsi="Times New Roman" w:cs="Times New Roman"/>
                <w:b w:val="0"/>
                <w:sz w:val="19"/>
                <w:szCs w:val="19"/>
              </w:rPr>
            </w:pPr>
            <w:r w:rsidRPr="00902CCF">
              <w:rPr>
                <w:rFonts w:ascii="Times New Roman" w:hAnsi="Times New Roman" w:cs="Times New Roman"/>
                <w:sz w:val="19"/>
                <w:szCs w:val="19"/>
              </w:rPr>
              <w:t>Η πρόληψη σχηματισμού αποβλήτων υπερτερεί έναντι της κατεργασίας και του καθαρισμού αφού αυτά σχηματιστούν.</w:t>
            </w:r>
            <w:r w:rsidRPr="00902CCF">
              <w:rPr>
                <w:rFonts w:ascii="Times New Roman" w:hAnsi="Times New Roman" w:cs="Times New Roman"/>
                <w:b w:val="0"/>
                <w:sz w:val="19"/>
                <w:szCs w:val="19"/>
              </w:rPr>
              <w:t xml:space="preserve"> </w:t>
            </w:r>
          </w:p>
        </w:tc>
        <w:tc>
          <w:tcPr>
            <w:cnfStyle w:val="000010000000" w:firstRow="0" w:lastRow="0" w:firstColumn="0" w:lastColumn="0" w:oddVBand="1" w:evenVBand="0" w:oddHBand="0" w:evenHBand="0" w:firstRowFirstColumn="0" w:firstRowLastColumn="0" w:lastRowFirstColumn="0" w:lastRowLastColumn="0"/>
            <w:tcW w:w="1417" w:type="dxa"/>
            <w:tcBorders>
              <w:left w:val="single" w:sz="4" w:space="0" w:color="FFFFFF" w:themeColor="background1"/>
              <w:right w:val="single" w:sz="4" w:space="0" w:color="FFFFFF" w:themeColor="background1"/>
            </w:tcBorders>
            <w:vAlign w:val="center"/>
          </w:tcPr>
          <w:p w:rsidR="0045140B" w:rsidRPr="00902CCF" w:rsidRDefault="0045140B" w:rsidP="00532A9D">
            <w:pPr>
              <w:jc w:val="center"/>
              <w:rPr>
                <w:rFonts w:ascii="Times New Roman" w:hAnsi="Times New Roman" w:cs="Times New Roman"/>
                <w:sz w:val="19"/>
                <w:szCs w:val="19"/>
              </w:rPr>
            </w:pPr>
            <w:r w:rsidRPr="00902CCF">
              <w:rPr>
                <w:rFonts w:ascii="Times New Roman" w:hAnsi="Times New Roman" w:cs="Times New Roman"/>
                <w:sz w:val="19"/>
                <w:szCs w:val="19"/>
              </w:rPr>
              <w:t>2</w:t>
            </w:r>
          </w:p>
        </w:tc>
        <w:tc>
          <w:tcPr>
            <w:tcW w:w="3666"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4"/>
              </w:numPr>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Απόβλητα που παράγονται από τις χημικές διεργασίες.</w:t>
            </w:r>
          </w:p>
          <w:p w:rsidR="0045140B" w:rsidRPr="00902CCF" w:rsidRDefault="0045140B" w:rsidP="0045140B">
            <w:pPr>
              <w:pStyle w:val="a4"/>
              <w:numPr>
                <w:ilvl w:val="0"/>
                <w:numId w:val="4"/>
              </w:numPr>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Τοξικότητα αποβλήτων.</w:t>
            </w:r>
          </w:p>
          <w:p w:rsidR="0045140B" w:rsidRPr="00902CCF" w:rsidRDefault="0045140B" w:rsidP="0045140B">
            <w:pPr>
              <w:pStyle w:val="a4"/>
              <w:numPr>
                <w:ilvl w:val="0"/>
                <w:numId w:val="4"/>
              </w:numPr>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Διαχείριση αποβλήτων και προβλήματα διαχείρισης αυτών.</w:t>
            </w:r>
          </w:p>
          <w:p w:rsidR="0045140B" w:rsidRPr="00902CCF" w:rsidRDefault="0045140B" w:rsidP="0045140B">
            <w:pPr>
              <w:pStyle w:val="a4"/>
              <w:numPr>
                <w:ilvl w:val="0"/>
                <w:numId w:val="4"/>
              </w:numPr>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Είναι προτιμότερο να προλαμβάνουμε το σχηματισμό αποβλήτων από το να τα κατεργαζόμαστε ή να τα καθαρίζουμε αφού σχηματιστούν.</w:t>
            </w:r>
          </w:p>
        </w:tc>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Εμπλουτισμένη εισήγηση</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Συζήτηση</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Καταιγισμός ιδεών</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Προσομοίωση</w:t>
            </w:r>
          </w:p>
        </w:tc>
        <w:tc>
          <w:tcPr>
            <w:cnfStyle w:val="000100000000" w:firstRow="0" w:lastRow="0" w:firstColumn="0" w:lastColumn="1" w:oddVBand="0" w:evenVBand="0" w:oddHBand="0" w:evenHBand="0" w:firstRowFirstColumn="0" w:firstRowLastColumn="0" w:lastRowFirstColumn="0" w:lastRowLastColumn="0"/>
            <w:tcW w:w="1729" w:type="dxa"/>
            <w:tcBorders>
              <w:lef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Πίνακας</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 xml:space="preserve">Μηχάνημα προβολής μέσω </w:t>
            </w:r>
            <w:r w:rsidRPr="00902CCF">
              <w:rPr>
                <w:rFonts w:ascii="Times New Roman" w:hAnsi="Times New Roman"/>
                <w:b w:val="0"/>
                <w:sz w:val="19"/>
                <w:szCs w:val="19"/>
                <w:lang w:val="en-US"/>
              </w:rPr>
              <w:t>H</w:t>
            </w:r>
            <w:r w:rsidRPr="00902CCF">
              <w:rPr>
                <w:rFonts w:ascii="Times New Roman" w:hAnsi="Times New Roman"/>
                <w:b w:val="0"/>
                <w:sz w:val="19"/>
                <w:szCs w:val="19"/>
              </w:rPr>
              <w:t>/</w:t>
            </w:r>
            <w:r w:rsidRPr="00902CCF">
              <w:rPr>
                <w:rFonts w:ascii="Times New Roman" w:hAnsi="Times New Roman"/>
                <w:b w:val="0"/>
                <w:sz w:val="19"/>
                <w:szCs w:val="19"/>
                <w:lang w:val="en-US"/>
              </w:rPr>
              <w:t>Y</w:t>
            </w:r>
          </w:p>
          <w:p w:rsidR="0045140B" w:rsidRPr="00902CCF" w:rsidRDefault="0045140B" w:rsidP="00532A9D">
            <w:pPr>
              <w:rPr>
                <w:rFonts w:ascii="Times New Roman" w:hAnsi="Times New Roman" w:cs="Times New Roman"/>
                <w:b w:val="0"/>
                <w:sz w:val="19"/>
                <w:szCs w:val="19"/>
              </w:rPr>
            </w:pPr>
          </w:p>
        </w:tc>
      </w:tr>
      <w:tr w:rsidR="0045140B" w:rsidRPr="00DF4CEA" w:rsidTr="00902CCF">
        <w:trPr>
          <w:trHeight w:val="2295"/>
        </w:trPr>
        <w:tc>
          <w:tcPr>
            <w:cnfStyle w:val="001000000000" w:firstRow="0" w:lastRow="0" w:firstColumn="1" w:lastColumn="0" w:oddVBand="0" w:evenVBand="0" w:oddHBand="0" w:evenHBand="0" w:firstRowFirstColumn="0" w:firstRowLastColumn="0" w:lastRowFirstColumn="0" w:lastRowLastColumn="0"/>
            <w:tcW w:w="2660" w:type="dxa"/>
            <w:tcBorders>
              <w:right w:val="single" w:sz="4" w:space="0" w:color="FFFFFF" w:themeColor="background1"/>
            </w:tcBorders>
            <w:vAlign w:val="center"/>
          </w:tcPr>
          <w:p w:rsidR="0045140B" w:rsidRPr="00902CCF" w:rsidRDefault="0045140B" w:rsidP="00532A9D">
            <w:pPr>
              <w:rPr>
                <w:rFonts w:ascii="Times New Roman" w:hAnsi="Times New Roman" w:cs="Times New Roman"/>
                <w:b w:val="0"/>
                <w:sz w:val="19"/>
                <w:szCs w:val="19"/>
              </w:rPr>
            </w:pPr>
            <w:r w:rsidRPr="00902CCF">
              <w:rPr>
                <w:rFonts w:ascii="Times New Roman" w:hAnsi="Times New Roman" w:cs="Times New Roman"/>
                <w:sz w:val="19"/>
                <w:szCs w:val="19"/>
              </w:rPr>
              <w:t>2.  Η Πράσινη Χημεία παράγει λιγότερα ή καθόλου απόβλητα. Πως επιτυγχάνεται αυτό;</w:t>
            </w:r>
            <w:r w:rsidRPr="00902CCF">
              <w:rPr>
                <w:rFonts w:ascii="Times New Roman" w:hAnsi="Times New Roman" w:cs="Times New Roman"/>
                <w:b w:val="0"/>
                <w:sz w:val="19"/>
                <w:szCs w:val="19"/>
              </w:rPr>
              <w:t xml:space="preserve"> </w:t>
            </w:r>
          </w:p>
        </w:tc>
        <w:tc>
          <w:tcPr>
            <w:cnfStyle w:val="000010000000" w:firstRow="0" w:lastRow="0" w:firstColumn="0" w:lastColumn="0" w:oddVBand="1" w:evenVBand="0" w:oddHBand="0" w:evenHBand="0" w:firstRowFirstColumn="0" w:firstRowLastColumn="0" w:lastRowFirstColumn="0" w:lastRowLastColumn="0"/>
            <w:tcW w:w="1417" w:type="dxa"/>
            <w:tcBorders>
              <w:left w:val="single" w:sz="4" w:space="0" w:color="FFFFFF" w:themeColor="background1"/>
              <w:right w:val="single" w:sz="4" w:space="0" w:color="FFFFFF" w:themeColor="background1"/>
            </w:tcBorders>
            <w:vAlign w:val="center"/>
          </w:tcPr>
          <w:p w:rsidR="0045140B" w:rsidRPr="00902CCF" w:rsidRDefault="0045140B" w:rsidP="00532A9D">
            <w:pPr>
              <w:jc w:val="center"/>
              <w:rPr>
                <w:rFonts w:ascii="Times New Roman" w:hAnsi="Times New Roman" w:cs="Times New Roman"/>
                <w:sz w:val="19"/>
                <w:szCs w:val="19"/>
              </w:rPr>
            </w:pPr>
            <w:r w:rsidRPr="00902CCF">
              <w:rPr>
                <w:rFonts w:ascii="Times New Roman" w:hAnsi="Times New Roman" w:cs="Times New Roman"/>
                <w:sz w:val="19"/>
                <w:szCs w:val="19"/>
              </w:rPr>
              <w:t>3</w:t>
            </w:r>
          </w:p>
        </w:tc>
        <w:tc>
          <w:tcPr>
            <w:tcW w:w="3666"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4"/>
              </w:numPr>
              <w:spacing w:after="200" w:line="276"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Οικονομία ατόμων στις αντιδράσεις: τα άτομα των αντιδρώντων ή όσο το δυνατόν περισσότερα</w:t>
            </w:r>
            <w:r w:rsidR="00181072">
              <w:rPr>
                <w:rFonts w:ascii="Times New Roman" w:hAnsi="Times New Roman"/>
                <w:sz w:val="19"/>
                <w:szCs w:val="19"/>
              </w:rPr>
              <w:t>,</w:t>
            </w:r>
            <w:r w:rsidRPr="00902CCF">
              <w:rPr>
                <w:rFonts w:ascii="Times New Roman" w:hAnsi="Times New Roman"/>
                <w:sz w:val="19"/>
                <w:szCs w:val="19"/>
              </w:rPr>
              <w:t xml:space="preserve"> να συμμετέχουν στο τελικό προϊόν.</w:t>
            </w:r>
          </w:p>
          <w:p w:rsidR="0045140B" w:rsidRPr="00902CCF" w:rsidRDefault="0045140B" w:rsidP="0045140B">
            <w:pPr>
              <w:pStyle w:val="a4"/>
              <w:numPr>
                <w:ilvl w:val="0"/>
                <w:numId w:val="4"/>
              </w:numPr>
              <w:spacing w:after="200" w:line="276"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Μείωση ενδιάμεσων παραγώγων στις αντιδράσεις.</w:t>
            </w:r>
          </w:p>
          <w:p w:rsidR="0045140B" w:rsidRPr="00902CCF" w:rsidRDefault="0045140B" w:rsidP="0045140B">
            <w:pPr>
              <w:pStyle w:val="a4"/>
              <w:numPr>
                <w:ilvl w:val="0"/>
                <w:numId w:val="4"/>
              </w:numPr>
              <w:spacing w:after="200" w:line="276"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Νέοι μέθοδοι σύνθεσης χημικών ουσιών.</w:t>
            </w:r>
          </w:p>
          <w:p w:rsidR="0045140B" w:rsidRPr="00902CCF" w:rsidRDefault="0045140B" w:rsidP="0045140B">
            <w:pPr>
              <w:pStyle w:val="a4"/>
              <w:numPr>
                <w:ilvl w:val="0"/>
                <w:numId w:val="4"/>
              </w:numPr>
              <w:spacing w:after="200" w:line="276"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Υπάρχουν και αναπτύσσονται τρόποι για πραγματικού χρόνου ανάλυση με σκοπό την πρόληψη της ρύπανσης.</w:t>
            </w:r>
          </w:p>
        </w:tc>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Εμπλουτισμένη εισήγηση</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Προσομοίωση</w:t>
            </w:r>
          </w:p>
        </w:tc>
        <w:tc>
          <w:tcPr>
            <w:cnfStyle w:val="000100000000" w:firstRow="0" w:lastRow="0" w:firstColumn="0" w:lastColumn="1" w:oddVBand="0" w:evenVBand="0" w:oddHBand="0" w:evenHBand="0" w:firstRowFirstColumn="0" w:firstRowLastColumn="0" w:lastRowFirstColumn="0" w:lastRowLastColumn="0"/>
            <w:tcW w:w="1729" w:type="dxa"/>
            <w:tcBorders>
              <w:lef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Πίνακας</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 xml:space="preserve">Μηχάνημα προβολής μέσω </w:t>
            </w:r>
            <w:r w:rsidRPr="00902CCF">
              <w:rPr>
                <w:rFonts w:ascii="Times New Roman" w:hAnsi="Times New Roman"/>
                <w:b w:val="0"/>
                <w:sz w:val="19"/>
                <w:szCs w:val="19"/>
                <w:lang w:val="en-US"/>
              </w:rPr>
              <w:t>H</w:t>
            </w:r>
            <w:r w:rsidRPr="00902CCF">
              <w:rPr>
                <w:rFonts w:ascii="Times New Roman" w:hAnsi="Times New Roman"/>
                <w:b w:val="0"/>
                <w:sz w:val="19"/>
                <w:szCs w:val="19"/>
              </w:rPr>
              <w:t>/</w:t>
            </w:r>
            <w:r w:rsidRPr="00902CCF">
              <w:rPr>
                <w:rFonts w:ascii="Times New Roman" w:hAnsi="Times New Roman"/>
                <w:b w:val="0"/>
                <w:sz w:val="19"/>
                <w:szCs w:val="19"/>
                <w:lang w:val="en-US"/>
              </w:rPr>
              <w:t>Y</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Πρόγραμμα Η/Υ προσομοίωσης χημικών αντιδράσεων</w:t>
            </w:r>
          </w:p>
        </w:tc>
      </w:tr>
      <w:tr w:rsidR="0045140B" w:rsidRPr="00DF4CEA" w:rsidTr="00902CCF">
        <w:trPr>
          <w:cnfStyle w:val="000000100000" w:firstRow="0" w:lastRow="0" w:firstColumn="0" w:lastColumn="0" w:oddVBand="0" w:evenVBand="0" w:oddHBand="1" w:evenHBand="0" w:firstRowFirstColumn="0" w:firstRowLastColumn="0" w:lastRowFirstColumn="0" w:lastRowLastColumn="0"/>
          <w:trHeight w:val="1922"/>
        </w:trPr>
        <w:tc>
          <w:tcPr>
            <w:cnfStyle w:val="001000000000" w:firstRow="0" w:lastRow="0" w:firstColumn="1" w:lastColumn="0" w:oddVBand="0" w:evenVBand="0" w:oddHBand="0" w:evenHBand="0" w:firstRowFirstColumn="0" w:firstRowLastColumn="0" w:lastRowFirstColumn="0" w:lastRowLastColumn="0"/>
            <w:tcW w:w="2660" w:type="dxa"/>
            <w:tcBorders>
              <w:right w:val="single" w:sz="4" w:space="0" w:color="FFFFFF" w:themeColor="background1"/>
            </w:tcBorders>
            <w:vAlign w:val="center"/>
          </w:tcPr>
          <w:p w:rsidR="0045140B" w:rsidRPr="00902CCF" w:rsidRDefault="0045140B" w:rsidP="00532A9D">
            <w:pPr>
              <w:rPr>
                <w:rFonts w:ascii="Times New Roman" w:hAnsi="Times New Roman" w:cs="Times New Roman"/>
                <w:b w:val="0"/>
                <w:sz w:val="19"/>
                <w:szCs w:val="19"/>
              </w:rPr>
            </w:pPr>
            <w:r w:rsidRPr="00902CCF">
              <w:rPr>
                <w:rFonts w:ascii="Times New Roman" w:hAnsi="Times New Roman" w:cs="Times New Roman"/>
                <w:sz w:val="19"/>
                <w:szCs w:val="19"/>
              </w:rPr>
              <w:t>3.  Οι διεργασίες της Πράσινης Χημείας δεν χρησιμοποιούν ή παράγουν επικίνδυνες τοξικές ουσίες. Παράγουν ασφαλή προϊόντα για την ανθρώπινη υγεία και το περιβάλλον</w:t>
            </w:r>
          </w:p>
        </w:tc>
        <w:tc>
          <w:tcPr>
            <w:cnfStyle w:val="000010000000" w:firstRow="0" w:lastRow="0" w:firstColumn="0" w:lastColumn="0" w:oddVBand="1" w:evenVBand="0" w:oddHBand="0" w:evenHBand="0" w:firstRowFirstColumn="0" w:firstRowLastColumn="0" w:lastRowFirstColumn="0" w:lastRowLastColumn="0"/>
            <w:tcW w:w="1417" w:type="dxa"/>
            <w:tcBorders>
              <w:left w:val="single" w:sz="4" w:space="0" w:color="FFFFFF" w:themeColor="background1"/>
              <w:right w:val="single" w:sz="4" w:space="0" w:color="FFFFFF" w:themeColor="background1"/>
            </w:tcBorders>
            <w:vAlign w:val="center"/>
          </w:tcPr>
          <w:p w:rsidR="0045140B" w:rsidRPr="00902CCF" w:rsidRDefault="0045140B" w:rsidP="00532A9D">
            <w:pPr>
              <w:jc w:val="center"/>
              <w:rPr>
                <w:rFonts w:ascii="Times New Roman" w:hAnsi="Times New Roman" w:cs="Times New Roman"/>
                <w:sz w:val="19"/>
                <w:szCs w:val="19"/>
              </w:rPr>
            </w:pPr>
            <w:r w:rsidRPr="00902CCF">
              <w:rPr>
                <w:rFonts w:ascii="Times New Roman" w:hAnsi="Times New Roman" w:cs="Times New Roman"/>
                <w:sz w:val="19"/>
                <w:szCs w:val="19"/>
              </w:rPr>
              <w:t>3</w:t>
            </w:r>
          </w:p>
        </w:tc>
        <w:tc>
          <w:tcPr>
            <w:tcW w:w="3666"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4"/>
              </w:numPr>
              <w:spacing w:after="200" w:line="276" w:lineRule="auto"/>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Οικονομία ατόμων στις αντιδράσεις: τα άτομα των αντιδρώντων ή όσο το δυνατόν περισσότερα να συμμετέχουν στο τελικό προϊόν.</w:t>
            </w:r>
          </w:p>
          <w:p w:rsidR="0045140B" w:rsidRPr="00902CCF" w:rsidRDefault="0045140B" w:rsidP="0045140B">
            <w:pPr>
              <w:pStyle w:val="a4"/>
              <w:numPr>
                <w:ilvl w:val="0"/>
                <w:numId w:val="4"/>
              </w:numPr>
              <w:spacing w:after="200" w:line="276" w:lineRule="auto"/>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Χρήση εναλλακτικών διαλυτών που είναι ασφαλέστεροι.</w:t>
            </w:r>
          </w:p>
          <w:p w:rsidR="0045140B" w:rsidRPr="00902CCF" w:rsidRDefault="0045140B" w:rsidP="0045140B">
            <w:pPr>
              <w:pStyle w:val="a4"/>
              <w:numPr>
                <w:ilvl w:val="0"/>
                <w:numId w:val="4"/>
              </w:numPr>
              <w:spacing w:after="200" w:line="276" w:lineRule="auto"/>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Μείωση ενδιάμεσων παραγώγων.</w:t>
            </w:r>
          </w:p>
          <w:p w:rsidR="0045140B" w:rsidRPr="00902CCF" w:rsidRDefault="0045140B" w:rsidP="0045140B">
            <w:pPr>
              <w:pStyle w:val="a4"/>
              <w:numPr>
                <w:ilvl w:val="0"/>
                <w:numId w:val="4"/>
              </w:numPr>
              <w:spacing w:after="200" w:line="276" w:lineRule="auto"/>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 xml:space="preserve">Τα τελικά προϊόντα είναι ασφαλή για τον άνθρωπο και το περιβάλλον. Είναι αποτελεσματικά, λιγότερο τοξικά, </w:t>
            </w:r>
            <w:proofErr w:type="spellStart"/>
            <w:r w:rsidRPr="00902CCF">
              <w:rPr>
                <w:rFonts w:ascii="Times New Roman" w:hAnsi="Times New Roman"/>
                <w:sz w:val="19"/>
                <w:szCs w:val="19"/>
              </w:rPr>
              <w:t>αποικοδομήσιμα</w:t>
            </w:r>
            <w:proofErr w:type="spellEnd"/>
            <w:r w:rsidRPr="00902CCF">
              <w:rPr>
                <w:rFonts w:ascii="Times New Roman" w:hAnsi="Times New Roman"/>
                <w:sz w:val="19"/>
                <w:szCs w:val="19"/>
              </w:rPr>
              <w:t xml:space="preserve"> και/ή ανακυκλώσιμα.</w:t>
            </w:r>
          </w:p>
          <w:p w:rsidR="0045140B" w:rsidRPr="00902CCF" w:rsidRDefault="0045140B" w:rsidP="0045140B">
            <w:pPr>
              <w:pStyle w:val="a4"/>
              <w:numPr>
                <w:ilvl w:val="0"/>
                <w:numId w:val="4"/>
              </w:numPr>
              <w:spacing w:after="200" w:line="276" w:lineRule="auto"/>
              <w:ind w:left="170" w:hanging="170"/>
              <w:cnfStyle w:val="000000100000" w:firstRow="0" w:lastRow="0" w:firstColumn="0" w:lastColumn="0" w:oddVBand="0" w:evenVBand="0" w:oddHBand="1"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Στόχος η μείωση ατυχημάτων (εκπομπών, εκρήξεων, αναφλέξεων κ.α.).</w:t>
            </w:r>
          </w:p>
        </w:tc>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Εμπλουτισμένη εισήγηση</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Προσομοίωση</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Επίδειξη</w:t>
            </w:r>
          </w:p>
        </w:tc>
        <w:tc>
          <w:tcPr>
            <w:cnfStyle w:val="000100000000" w:firstRow="0" w:lastRow="0" w:firstColumn="0" w:lastColumn="1" w:oddVBand="0" w:evenVBand="0" w:oddHBand="0" w:evenHBand="0" w:firstRowFirstColumn="0" w:firstRowLastColumn="0" w:lastRowFirstColumn="0" w:lastRowLastColumn="0"/>
            <w:tcW w:w="1729" w:type="dxa"/>
            <w:tcBorders>
              <w:lef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Πίνακας</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 xml:space="preserve">Μηχάνημα προβολής μέσω </w:t>
            </w:r>
            <w:r w:rsidRPr="00902CCF">
              <w:rPr>
                <w:rFonts w:ascii="Times New Roman" w:hAnsi="Times New Roman"/>
                <w:b w:val="0"/>
                <w:sz w:val="19"/>
                <w:szCs w:val="19"/>
                <w:lang w:val="en-US"/>
              </w:rPr>
              <w:t>H</w:t>
            </w:r>
            <w:r w:rsidRPr="00902CCF">
              <w:rPr>
                <w:rFonts w:ascii="Times New Roman" w:hAnsi="Times New Roman"/>
                <w:b w:val="0"/>
                <w:sz w:val="19"/>
                <w:szCs w:val="19"/>
              </w:rPr>
              <w:t>/</w:t>
            </w:r>
            <w:r w:rsidRPr="00902CCF">
              <w:rPr>
                <w:rFonts w:ascii="Times New Roman" w:hAnsi="Times New Roman"/>
                <w:b w:val="0"/>
                <w:sz w:val="19"/>
                <w:szCs w:val="19"/>
                <w:lang w:val="en-US"/>
              </w:rPr>
              <w:t>Y</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Πρόγραμμα Η/Υ προσομοίωσης χημικών αντιδράσεων</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Όργανα &amp; χημικά</w:t>
            </w:r>
          </w:p>
        </w:tc>
      </w:tr>
      <w:tr w:rsidR="0045140B" w:rsidRPr="00DF4CEA" w:rsidTr="00902CCF">
        <w:trPr>
          <w:trHeight w:val="1623"/>
        </w:trPr>
        <w:tc>
          <w:tcPr>
            <w:cnfStyle w:val="001000000000" w:firstRow="0" w:lastRow="0" w:firstColumn="1" w:lastColumn="0" w:oddVBand="0" w:evenVBand="0" w:oddHBand="0" w:evenHBand="0" w:firstRowFirstColumn="0" w:firstRowLastColumn="0" w:lastRowFirstColumn="0" w:lastRowLastColumn="0"/>
            <w:tcW w:w="2660" w:type="dxa"/>
            <w:tcBorders>
              <w:right w:val="single" w:sz="4" w:space="0" w:color="FFFFFF" w:themeColor="background1"/>
            </w:tcBorders>
            <w:vAlign w:val="center"/>
          </w:tcPr>
          <w:p w:rsidR="0045140B" w:rsidRPr="00902CCF" w:rsidRDefault="0045140B" w:rsidP="00532A9D">
            <w:pPr>
              <w:rPr>
                <w:rFonts w:ascii="Times New Roman" w:hAnsi="Times New Roman" w:cs="Times New Roman"/>
                <w:sz w:val="19"/>
                <w:szCs w:val="19"/>
              </w:rPr>
            </w:pPr>
            <w:r w:rsidRPr="00902CCF">
              <w:rPr>
                <w:rFonts w:ascii="Times New Roman" w:hAnsi="Times New Roman" w:cs="Times New Roman"/>
                <w:sz w:val="19"/>
                <w:szCs w:val="19"/>
              </w:rPr>
              <w:t>4. Οι διεργασίες της Πράσινης Χημείας απαιτούν λιγότερη ενέργεια και χρησιμοποιούν ανανεώσιμες πρώτες ύλες.</w:t>
            </w:r>
          </w:p>
          <w:p w:rsidR="0045140B" w:rsidRPr="00902CCF" w:rsidRDefault="0045140B" w:rsidP="00532A9D">
            <w:pPr>
              <w:rPr>
                <w:rFonts w:ascii="Times New Roman" w:hAnsi="Times New Roman" w:cs="Times New Roman"/>
                <w:b w:val="0"/>
                <w:sz w:val="19"/>
                <w:szCs w:val="19"/>
              </w:rPr>
            </w:pPr>
          </w:p>
        </w:tc>
        <w:tc>
          <w:tcPr>
            <w:cnfStyle w:val="000010000000" w:firstRow="0" w:lastRow="0" w:firstColumn="0" w:lastColumn="0" w:oddVBand="1" w:evenVBand="0" w:oddHBand="0" w:evenHBand="0" w:firstRowFirstColumn="0" w:firstRowLastColumn="0" w:lastRowFirstColumn="0" w:lastRowLastColumn="0"/>
            <w:tcW w:w="1417" w:type="dxa"/>
            <w:tcBorders>
              <w:left w:val="single" w:sz="4" w:space="0" w:color="FFFFFF" w:themeColor="background1"/>
              <w:right w:val="single" w:sz="4" w:space="0" w:color="FFFFFF" w:themeColor="background1"/>
            </w:tcBorders>
            <w:vAlign w:val="center"/>
          </w:tcPr>
          <w:p w:rsidR="0045140B" w:rsidRPr="00902CCF" w:rsidRDefault="0045140B" w:rsidP="00532A9D">
            <w:pPr>
              <w:jc w:val="center"/>
              <w:rPr>
                <w:rFonts w:ascii="Times New Roman" w:hAnsi="Times New Roman" w:cs="Times New Roman"/>
                <w:sz w:val="19"/>
                <w:szCs w:val="19"/>
              </w:rPr>
            </w:pPr>
            <w:r w:rsidRPr="00902CCF">
              <w:rPr>
                <w:rFonts w:ascii="Times New Roman" w:hAnsi="Times New Roman" w:cs="Times New Roman"/>
                <w:sz w:val="19"/>
                <w:szCs w:val="19"/>
              </w:rPr>
              <w:t>2</w:t>
            </w:r>
          </w:p>
        </w:tc>
        <w:tc>
          <w:tcPr>
            <w:tcW w:w="3666"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4"/>
              </w:numPr>
              <w:spacing w:after="200" w:line="276"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Μείωση της απαιτούμενης ενέργειας στις χημικές διεργασίες και όπου είναι δυνατόν οι συνθέσεις γίνονται σε θερμοκρασία περιβάλλοντος και ατμοσφαιρική πίεση.</w:t>
            </w:r>
          </w:p>
          <w:p w:rsidR="0045140B" w:rsidRPr="00902CCF" w:rsidRDefault="0045140B" w:rsidP="0045140B">
            <w:pPr>
              <w:pStyle w:val="a4"/>
              <w:numPr>
                <w:ilvl w:val="0"/>
                <w:numId w:val="4"/>
              </w:numPr>
              <w:spacing w:after="200" w:line="276" w:lineRule="auto"/>
              <w:ind w:left="170" w:hanging="170"/>
              <w:cnfStyle w:val="000000000000" w:firstRow="0" w:lastRow="0" w:firstColumn="0" w:lastColumn="0" w:oddVBand="0" w:evenVBand="0" w:oddHBand="0" w:evenHBand="0" w:firstRowFirstColumn="0" w:firstRowLastColumn="0" w:lastRowFirstColumn="0" w:lastRowLastColumn="0"/>
              <w:rPr>
                <w:rFonts w:ascii="Times New Roman" w:hAnsi="Times New Roman"/>
                <w:sz w:val="19"/>
                <w:szCs w:val="19"/>
              </w:rPr>
            </w:pPr>
            <w:r w:rsidRPr="00902CCF">
              <w:rPr>
                <w:rFonts w:ascii="Times New Roman" w:hAnsi="Times New Roman"/>
                <w:sz w:val="19"/>
                <w:szCs w:val="19"/>
              </w:rPr>
              <w:t>Οι πρώτες ύλες που χρησιμοποιούνται πρέπει να είναι ανανεώσιμες.</w:t>
            </w:r>
          </w:p>
        </w:tc>
        <w:tc>
          <w:tcPr>
            <w:cnfStyle w:val="000010000000" w:firstRow="0" w:lastRow="0" w:firstColumn="0" w:lastColumn="0" w:oddVBand="1" w:evenVBand="0" w:oddHBand="0" w:evenHBand="0" w:firstRowFirstColumn="0" w:firstRowLastColumn="0" w:lastRowFirstColumn="0" w:lastRowLastColumn="0"/>
            <w:tcW w:w="1728" w:type="dxa"/>
            <w:tcBorders>
              <w:left w:val="single" w:sz="4" w:space="0" w:color="FFFFFF" w:themeColor="background1"/>
              <w:righ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Εμπλουτισμένη εισήγηση</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Προσομοίωση</w:t>
            </w:r>
          </w:p>
          <w:p w:rsidR="0045140B" w:rsidRPr="00902CCF" w:rsidRDefault="0045140B" w:rsidP="0045140B">
            <w:pPr>
              <w:pStyle w:val="a4"/>
              <w:numPr>
                <w:ilvl w:val="0"/>
                <w:numId w:val="5"/>
              </w:numPr>
              <w:ind w:left="170" w:hanging="170"/>
              <w:rPr>
                <w:rFonts w:ascii="Times New Roman" w:hAnsi="Times New Roman"/>
                <w:sz w:val="19"/>
                <w:szCs w:val="19"/>
              </w:rPr>
            </w:pPr>
            <w:r w:rsidRPr="00902CCF">
              <w:rPr>
                <w:rFonts w:ascii="Times New Roman" w:hAnsi="Times New Roman"/>
                <w:sz w:val="19"/>
                <w:szCs w:val="19"/>
              </w:rPr>
              <w:t>Επίδειξη</w:t>
            </w:r>
          </w:p>
        </w:tc>
        <w:tc>
          <w:tcPr>
            <w:cnfStyle w:val="000100000000" w:firstRow="0" w:lastRow="0" w:firstColumn="0" w:lastColumn="1" w:oddVBand="0" w:evenVBand="0" w:oddHBand="0" w:evenHBand="0" w:firstRowFirstColumn="0" w:firstRowLastColumn="0" w:lastRowFirstColumn="0" w:lastRowLastColumn="0"/>
            <w:tcW w:w="1729" w:type="dxa"/>
            <w:tcBorders>
              <w:left w:val="single" w:sz="4" w:space="0" w:color="FFFFFF" w:themeColor="background1"/>
            </w:tcBorders>
            <w:vAlign w:val="center"/>
          </w:tcPr>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 xml:space="preserve">Πίνακας </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 xml:space="preserve">Μηχάνημα προβολής μέσω </w:t>
            </w:r>
            <w:r w:rsidRPr="00902CCF">
              <w:rPr>
                <w:rFonts w:ascii="Times New Roman" w:hAnsi="Times New Roman"/>
                <w:b w:val="0"/>
                <w:sz w:val="19"/>
                <w:szCs w:val="19"/>
                <w:lang w:val="en-US"/>
              </w:rPr>
              <w:t>H</w:t>
            </w:r>
            <w:r w:rsidRPr="00902CCF">
              <w:rPr>
                <w:rFonts w:ascii="Times New Roman" w:hAnsi="Times New Roman"/>
                <w:b w:val="0"/>
                <w:sz w:val="19"/>
                <w:szCs w:val="19"/>
              </w:rPr>
              <w:t>/</w:t>
            </w:r>
            <w:r w:rsidRPr="00902CCF">
              <w:rPr>
                <w:rFonts w:ascii="Times New Roman" w:hAnsi="Times New Roman"/>
                <w:b w:val="0"/>
                <w:sz w:val="19"/>
                <w:szCs w:val="19"/>
                <w:lang w:val="en-US"/>
              </w:rPr>
              <w:t>Y</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Πρόγραμμα Η/Υ προσομοίωσης χημικών αντιδράσεων</w:t>
            </w:r>
          </w:p>
          <w:p w:rsidR="0045140B" w:rsidRPr="00902CCF" w:rsidRDefault="0045140B" w:rsidP="0045140B">
            <w:pPr>
              <w:pStyle w:val="a4"/>
              <w:numPr>
                <w:ilvl w:val="0"/>
                <w:numId w:val="5"/>
              </w:numPr>
              <w:ind w:left="170" w:hanging="170"/>
              <w:rPr>
                <w:rFonts w:ascii="Times New Roman" w:hAnsi="Times New Roman"/>
                <w:b w:val="0"/>
                <w:sz w:val="19"/>
                <w:szCs w:val="19"/>
              </w:rPr>
            </w:pPr>
            <w:r w:rsidRPr="00902CCF">
              <w:rPr>
                <w:rFonts w:ascii="Times New Roman" w:hAnsi="Times New Roman"/>
                <w:b w:val="0"/>
                <w:sz w:val="19"/>
                <w:szCs w:val="19"/>
              </w:rPr>
              <w:t>Όργανα &amp; χημικά</w:t>
            </w:r>
          </w:p>
        </w:tc>
      </w:tr>
      <w:tr w:rsidR="0045140B" w:rsidRPr="00DF4CEA" w:rsidTr="00532A9D">
        <w:trPr>
          <w:cnfStyle w:val="010000000000" w:firstRow="0" w:lastRow="1" w:firstColumn="0" w:lastColumn="0" w:oddVBand="0" w:evenVBand="0" w:oddHBand="0" w:evenHBand="0" w:firstRowFirstColumn="0" w:firstRowLastColumn="0" w:lastRowFirstColumn="0" w:lastRowLastColumn="0"/>
          <w:trHeight w:val="353"/>
        </w:trPr>
        <w:tc>
          <w:tcPr>
            <w:cnfStyle w:val="001000000000" w:firstRow="0" w:lastRow="0" w:firstColumn="1" w:lastColumn="0" w:oddVBand="0" w:evenVBand="0" w:oddHBand="0" w:evenHBand="0" w:firstRowFirstColumn="0" w:firstRowLastColumn="0" w:lastRowFirstColumn="0" w:lastRowLastColumn="0"/>
            <w:tcW w:w="11200" w:type="dxa"/>
            <w:gridSpan w:val="5"/>
            <w:tcBorders>
              <w:bottom w:val="single" w:sz="4" w:space="0" w:color="4F81BD" w:themeColor="accent1"/>
            </w:tcBorders>
            <w:vAlign w:val="center"/>
          </w:tcPr>
          <w:p w:rsidR="0045140B" w:rsidRPr="00902CCF" w:rsidRDefault="0045140B" w:rsidP="00532A9D">
            <w:pPr>
              <w:rPr>
                <w:rFonts w:ascii="Times New Roman" w:hAnsi="Times New Roman" w:cs="Times New Roman"/>
                <w:sz w:val="19"/>
                <w:szCs w:val="19"/>
              </w:rPr>
            </w:pPr>
            <w:r w:rsidRPr="00902CCF">
              <w:rPr>
                <w:rFonts w:ascii="Times New Roman" w:hAnsi="Times New Roman" w:cs="Times New Roman"/>
                <w:sz w:val="19"/>
                <w:szCs w:val="19"/>
              </w:rPr>
              <w:t xml:space="preserve">                            Σύνολο:       </w:t>
            </w:r>
            <w:r w:rsidR="00374DA8">
              <w:rPr>
                <w:rFonts w:ascii="Times New Roman" w:hAnsi="Times New Roman" w:cs="Times New Roman"/>
                <w:sz w:val="19"/>
                <w:szCs w:val="19"/>
              </w:rPr>
              <w:t xml:space="preserve">       </w:t>
            </w:r>
            <w:r w:rsidR="00A239D5">
              <w:rPr>
                <w:rFonts w:ascii="Times New Roman" w:hAnsi="Times New Roman" w:cs="Times New Roman"/>
                <w:sz w:val="19"/>
                <w:szCs w:val="19"/>
              </w:rPr>
              <w:t xml:space="preserve">     </w:t>
            </w:r>
            <w:r w:rsidR="00374DA8">
              <w:rPr>
                <w:rFonts w:ascii="Times New Roman" w:hAnsi="Times New Roman" w:cs="Times New Roman"/>
                <w:sz w:val="19"/>
                <w:szCs w:val="19"/>
              </w:rPr>
              <w:t xml:space="preserve">      </w:t>
            </w:r>
            <w:r w:rsidRPr="00902CCF">
              <w:rPr>
                <w:rFonts w:ascii="Times New Roman" w:hAnsi="Times New Roman" w:cs="Times New Roman"/>
                <w:sz w:val="19"/>
                <w:szCs w:val="19"/>
              </w:rPr>
              <w:t xml:space="preserve">10 </w:t>
            </w:r>
          </w:p>
        </w:tc>
      </w:tr>
    </w:tbl>
    <w:p w:rsidR="005B228B" w:rsidRPr="00567939" w:rsidRDefault="005B228B" w:rsidP="007E2852">
      <w:pPr>
        <w:pStyle w:val="Default"/>
        <w:spacing w:line="360" w:lineRule="auto"/>
        <w:jc w:val="both"/>
        <w:rPr>
          <w:b/>
          <w:bCs/>
        </w:rPr>
      </w:pPr>
    </w:p>
    <w:p w:rsidR="00902CCF" w:rsidRDefault="00902CCF">
      <w:pPr>
        <w:rPr>
          <w:rFonts w:ascii="Times New Roman" w:hAnsi="Times New Roman" w:cs="Times New Roman"/>
          <w:b/>
          <w:bCs/>
          <w:color w:val="000000"/>
          <w:sz w:val="24"/>
          <w:szCs w:val="24"/>
        </w:rPr>
      </w:pPr>
      <w:r>
        <w:rPr>
          <w:b/>
          <w:bCs/>
        </w:rPr>
        <w:br w:type="page"/>
      </w:r>
    </w:p>
    <w:p w:rsidR="00800502" w:rsidRPr="007E2852" w:rsidRDefault="00567939" w:rsidP="00902CCF">
      <w:pPr>
        <w:pStyle w:val="Default"/>
        <w:spacing w:before="240" w:after="240"/>
        <w:jc w:val="both"/>
      </w:pPr>
      <w:r>
        <w:rPr>
          <w:b/>
          <w:bCs/>
        </w:rPr>
        <w:lastRenderedPageBreak/>
        <w:t>2</w:t>
      </w:r>
      <w:r w:rsidR="00A17F10">
        <w:rPr>
          <w:b/>
          <w:bCs/>
        </w:rPr>
        <w:t>.</w:t>
      </w:r>
      <w:r>
        <w:rPr>
          <w:b/>
          <w:bCs/>
        </w:rPr>
        <w:t>6</w:t>
      </w:r>
      <w:r w:rsidR="00800502" w:rsidRPr="007E2852">
        <w:rPr>
          <w:b/>
          <w:bCs/>
        </w:rPr>
        <w:t xml:space="preserve"> Αξιολόγηση του Προγράμματος </w:t>
      </w:r>
    </w:p>
    <w:p w:rsidR="009C2D25" w:rsidRPr="0055190A" w:rsidRDefault="00800502" w:rsidP="00902CCF">
      <w:pPr>
        <w:pStyle w:val="Default"/>
        <w:ind w:firstLine="720"/>
        <w:jc w:val="both"/>
        <w:rPr>
          <w:szCs w:val="23"/>
        </w:rPr>
      </w:pPr>
      <w:r w:rsidRPr="00C21B24">
        <w:rPr>
          <w:szCs w:val="23"/>
        </w:rPr>
        <w:t xml:space="preserve">Ένα σημαντικό ζήτημα είναι κατά πόσο οι εκπαιδευτικοί στόχοι επιτεύχθηκαν με τη λήξη του Προγράμματος, αλλά και αν το περιεχόμενο, όπως έχει δομηθεί εξυπηρετεί τους στόχους και τις ανάγκες (Κόκκος κ. συν., 2010). Συμφωνώντας με την άποψη των </w:t>
      </w:r>
      <w:proofErr w:type="spellStart"/>
      <w:r w:rsidRPr="00C21B24">
        <w:rPr>
          <w:szCs w:val="23"/>
        </w:rPr>
        <w:t>Thorne</w:t>
      </w:r>
      <w:proofErr w:type="spellEnd"/>
      <w:r w:rsidRPr="00C21B24">
        <w:rPr>
          <w:szCs w:val="23"/>
        </w:rPr>
        <w:t xml:space="preserve"> και </w:t>
      </w:r>
      <w:proofErr w:type="spellStart"/>
      <w:r w:rsidRPr="00C21B24">
        <w:rPr>
          <w:szCs w:val="23"/>
        </w:rPr>
        <w:t>Mackey</w:t>
      </w:r>
      <w:proofErr w:type="spellEnd"/>
      <w:r w:rsidRPr="00C21B24">
        <w:rPr>
          <w:szCs w:val="23"/>
        </w:rPr>
        <w:t xml:space="preserve"> (2003, </w:t>
      </w:r>
      <w:proofErr w:type="spellStart"/>
      <w:r w:rsidRPr="00C21B24">
        <w:rPr>
          <w:szCs w:val="23"/>
        </w:rPr>
        <w:t>όπ</w:t>
      </w:r>
      <w:proofErr w:type="spellEnd"/>
      <w:r w:rsidRPr="00C21B24">
        <w:rPr>
          <w:szCs w:val="23"/>
        </w:rPr>
        <w:t xml:space="preserve">. αναφ. στο Κόκκος κ. συν., 2010), ένας από τους κυριότερους λόγους για τους οποίους πρέπει να εφαρμόζεται η αξιολόγηση είναι η βελτίωση της εκπαιδευτικής διεργασίας και των αποτελεσμάτων της. </w:t>
      </w:r>
    </w:p>
    <w:p w:rsidR="009C2D25" w:rsidRPr="00C21B24" w:rsidRDefault="00800502" w:rsidP="00902CCF">
      <w:pPr>
        <w:pStyle w:val="Default"/>
        <w:ind w:firstLine="720"/>
        <w:jc w:val="both"/>
        <w:rPr>
          <w:szCs w:val="23"/>
        </w:rPr>
      </w:pPr>
      <w:r w:rsidRPr="00C21B24">
        <w:rPr>
          <w:szCs w:val="23"/>
        </w:rPr>
        <w:t xml:space="preserve">Στο παρόν Πρόγραμμα θα εφαρμοστούν και οι τρεις τύποι αξιολόγησης σύμφωνα με τον </w:t>
      </w:r>
      <w:proofErr w:type="spellStart"/>
      <w:r w:rsidRPr="00C21B24">
        <w:rPr>
          <w:szCs w:val="23"/>
        </w:rPr>
        <w:t>Bloom</w:t>
      </w:r>
      <w:proofErr w:type="spellEnd"/>
      <w:r w:rsidRPr="00C21B24">
        <w:rPr>
          <w:szCs w:val="23"/>
        </w:rPr>
        <w:t xml:space="preserve"> (1971, </w:t>
      </w:r>
      <w:proofErr w:type="spellStart"/>
      <w:r w:rsidRPr="00C21B24">
        <w:rPr>
          <w:szCs w:val="23"/>
        </w:rPr>
        <w:t>όπ</w:t>
      </w:r>
      <w:proofErr w:type="spellEnd"/>
      <w:r w:rsidRPr="00C21B24">
        <w:rPr>
          <w:szCs w:val="23"/>
        </w:rPr>
        <w:t xml:space="preserve">. αναφ. στο </w:t>
      </w:r>
      <w:proofErr w:type="spellStart"/>
      <w:r w:rsidRPr="00C21B24">
        <w:rPr>
          <w:szCs w:val="23"/>
        </w:rPr>
        <w:t>Μαυρογιώργος</w:t>
      </w:r>
      <w:proofErr w:type="spellEnd"/>
      <w:r w:rsidRPr="00C21B24">
        <w:rPr>
          <w:szCs w:val="23"/>
        </w:rPr>
        <w:t>, 2006). Δηλαδή θα εφαρμοστούν: α) η αρχική ή διαγνωστική, β) η ενδιάμεση ή διαμορφωτική και γ) η τελική ή συνολική ή απολογιστική. Με στόχο να εντοπιστούν οι εκπαιδευτικές ανάγκες και να καθοριστούν οι εκπαιδευτικές προτεραιότητες, θα εφαρμοστεί παράλληλα με τους άλλους τρόπους διερεύνησης των αναγκών και η αξιολόγηση πριν την έναρξη του Προγράμματος. Η συλλογή πληροφοριών σε αυτό το στάδιο αφορά τις γνώσεις, τις ικανότητες και τις στάσεις που έχουν οι συμμετέχοντες στο Πρόγ</w:t>
      </w:r>
      <w:r w:rsidR="005F27EB" w:rsidRPr="00C21B24">
        <w:rPr>
          <w:szCs w:val="23"/>
        </w:rPr>
        <w:t>ραμμα. Τα δεδομένα που θα συλλεχθ</w:t>
      </w:r>
      <w:r w:rsidRPr="00C21B24">
        <w:rPr>
          <w:szCs w:val="23"/>
        </w:rPr>
        <w:t xml:space="preserve">ούν αρχικά, θα χρησιμοποιηθούν για σύγκριση με τα αντίστοιχα κατά τη λήξη του Προγράμματος (Κόκκος κ. συν., 2010). Όπως αναφέρει ο </w:t>
      </w:r>
      <w:proofErr w:type="spellStart"/>
      <w:r w:rsidRPr="00C21B24">
        <w:rPr>
          <w:szCs w:val="23"/>
        </w:rPr>
        <w:t>Μαυρογιώργος</w:t>
      </w:r>
      <w:proofErr w:type="spellEnd"/>
      <w:r w:rsidRPr="00C21B24">
        <w:rPr>
          <w:szCs w:val="23"/>
        </w:rPr>
        <w:t xml:space="preserve"> (2006), με την ενδιάμεση αξιολόγηση και με βάση τα αποτελέσματά της, θα μπορούμε να παρέμβουμε, σε περίπτωση που οι στόχοι δεν επιτυγχάνονται, επανεκτιμώντας στόχους, τεχνικές και ρυθμό του Προγράμματος.</w:t>
      </w:r>
      <w:r w:rsidR="00F0141F">
        <w:rPr>
          <w:szCs w:val="23"/>
        </w:rPr>
        <w:t xml:space="preserve"> </w:t>
      </w:r>
      <w:bookmarkStart w:id="0" w:name="_GoBack"/>
      <w:bookmarkEnd w:id="0"/>
      <w:r w:rsidRPr="00C21B24">
        <w:rPr>
          <w:szCs w:val="23"/>
        </w:rPr>
        <w:t>Μετά την ολοκλήρωση του</w:t>
      </w:r>
      <w:r w:rsidR="009C2D25" w:rsidRPr="00C21B24">
        <w:rPr>
          <w:szCs w:val="23"/>
        </w:rPr>
        <w:t xml:space="preserve"> </w:t>
      </w:r>
      <w:r w:rsidRPr="00C21B24">
        <w:rPr>
          <w:szCs w:val="23"/>
        </w:rPr>
        <w:t>Προγράμματος θα γίνει η τελική αξιολόγηση που θα αφορά είτε την εκπαιδευτική διαδικασία είτε αποτελέσματα που κατακτήθηκαν. Η τελική αξιολόγηση είναι</w:t>
      </w:r>
      <w:r w:rsidR="009C2D25" w:rsidRPr="00C21B24">
        <w:rPr>
          <w:szCs w:val="23"/>
        </w:rPr>
        <w:t xml:space="preserve"> </w:t>
      </w:r>
      <w:r w:rsidRPr="00C21B24">
        <w:rPr>
          <w:szCs w:val="23"/>
        </w:rPr>
        <w:t xml:space="preserve">σημαντική κατά τον </w:t>
      </w:r>
      <w:proofErr w:type="spellStart"/>
      <w:r w:rsidRPr="00C21B24">
        <w:rPr>
          <w:szCs w:val="23"/>
        </w:rPr>
        <w:t>Μαυρογιώργο</w:t>
      </w:r>
      <w:proofErr w:type="spellEnd"/>
      <w:r w:rsidRPr="00C21B24">
        <w:rPr>
          <w:szCs w:val="23"/>
        </w:rPr>
        <w:t xml:space="preserve"> (2006), επειδή με τα πορίσματά της θα οδηγηθούμε στην επανεξέταση των μεθόδων και τεχνικών, αν χρειάζεται, ενώ τα πορίσματα θα έχουν μελλοντική εφαρμογή. Σύμφωνα με τον </w:t>
      </w:r>
      <w:proofErr w:type="spellStart"/>
      <w:r w:rsidRPr="00C21B24">
        <w:rPr>
          <w:szCs w:val="23"/>
        </w:rPr>
        <w:t>Rogers</w:t>
      </w:r>
      <w:proofErr w:type="spellEnd"/>
      <w:r w:rsidRPr="00C21B24">
        <w:rPr>
          <w:szCs w:val="23"/>
        </w:rPr>
        <w:t xml:space="preserve"> (1999) δεν μιλάμε για δύο διαφορετικές διαδικασίες στην ενδιάμεση και στην τελική αξιολόγηση. Ευελπιστούμε η αξιολόγηση να χρησιμοποιηθεί για να σχεδιαστούν καινούργια Προγράμματα και έτσι η απολογιστική αξιολόγηση του Προγράμματος για την Πράσινη Χημεία να είναι διαμορφωτική, επειδή κοιτάζει και «προς τα εμπρός». </w:t>
      </w:r>
    </w:p>
    <w:p w:rsidR="004613B3" w:rsidRPr="00C21B24" w:rsidRDefault="00800502" w:rsidP="00902CCF">
      <w:pPr>
        <w:spacing w:after="0" w:line="240" w:lineRule="auto"/>
        <w:ind w:firstLine="720"/>
        <w:jc w:val="both"/>
        <w:rPr>
          <w:rFonts w:ascii="Times New Roman" w:hAnsi="Times New Roman" w:cs="Times New Roman"/>
          <w:sz w:val="24"/>
          <w:szCs w:val="23"/>
        </w:rPr>
      </w:pPr>
      <w:r w:rsidRPr="00C21B24">
        <w:rPr>
          <w:rFonts w:ascii="Times New Roman" w:hAnsi="Times New Roman" w:cs="Times New Roman"/>
          <w:sz w:val="24"/>
          <w:szCs w:val="23"/>
        </w:rPr>
        <w:t>Προτείνεται από τη βιβλιογραφία να εφαρμόζεται το μοντέλο των τεσσάρων επιπέδων για την αξιολόγηση προγραμμάτων επαγγελματικής εξειδίκευσης, όπως αυτό που σχεδιάστηκε (</w:t>
      </w:r>
      <w:proofErr w:type="spellStart"/>
      <w:r w:rsidRPr="00C21B24">
        <w:rPr>
          <w:rFonts w:ascii="Times New Roman" w:hAnsi="Times New Roman" w:cs="Times New Roman"/>
          <w:sz w:val="24"/>
          <w:szCs w:val="23"/>
        </w:rPr>
        <w:t>Βεργίδης</w:t>
      </w:r>
      <w:proofErr w:type="spellEnd"/>
      <w:r w:rsidRPr="00C21B24">
        <w:rPr>
          <w:rFonts w:ascii="Times New Roman" w:hAnsi="Times New Roman" w:cs="Times New Roman"/>
          <w:sz w:val="24"/>
          <w:szCs w:val="23"/>
        </w:rPr>
        <w:t xml:space="preserve"> &amp; </w:t>
      </w:r>
      <w:proofErr w:type="spellStart"/>
      <w:r w:rsidRPr="00C21B24">
        <w:rPr>
          <w:rFonts w:ascii="Times New Roman" w:hAnsi="Times New Roman" w:cs="Times New Roman"/>
          <w:sz w:val="24"/>
          <w:szCs w:val="23"/>
        </w:rPr>
        <w:t>Καραλής</w:t>
      </w:r>
      <w:proofErr w:type="spellEnd"/>
      <w:r w:rsidRPr="00C21B24">
        <w:rPr>
          <w:rFonts w:ascii="Times New Roman" w:hAnsi="Times New Roman" w:cs="Times New Roman"/>
          <w:sz w:val="24"/>
          <w:szCs w:val="23"/>
        </w:rPr>
        <w:t>, 2008). Ενώ άλλα μοντέλα έχουν ως βασικά χαρακτηριστικά τους την ενημέρωση και την πληροφόρηση των συντελεστών του προγράμματος, στο μοντέλο των τεσσάρων επιπέδων τονίζεται η σημασία της αποτελεσματικότητας, της ανάλυσης κόστους</w:t>
      </w:r>
      <w:r w:rsidR="005B228B" w:rsidRPr="00C21B24">
        <w:rPr>
          <w:rFonts w:ascii="Times New Roman" w:hAnsi="Times New Roman" w:cs="Times New Roman"/>
          <w:sz w:val="24"/>
          <w:szCs w:val="23"/>
        </w:rPr>
        <w:t xml:space="preserve"> </w:t>
      </w:r>
      <w:r w:rsidRPr="00C21B24">
        <w:rPr>
          <w:rFonts w:ascii="Times New Roman" w:hAnsi="Times New Roman" w:cs="Times New Roman"/>
          <w:sz w:val="24"/>
          <w:szCs w:val="23"/>
        </w:rPr>
        <w:t>/</w:t>
      </w:r>
      <w:r w:rsidR="005B228B" w:rsidRPr="00C21B24">
        <w:rPr>
          <w:rFonts w:ascii="Times New Roman" w:hAnsi="Times New Roman" w:cs="Times New Roman"/>
          <w:sz w:val="24"/>
          <w:szCs w:val="23"/>
        </w:rPr>
        <w:t xml:space="preserve"> </w:t>
      </w:r>
      <w:r w:rsidRPr="00C21B24">
        <w:rPr>
          <w:rFonts w:ascii="Times New Roman" w:hAnsi="Times New Roman" w:cs="Times New Roman"/>
          <w:sz w:val="24"/>
          <w:szCs w:val="23"/>
        </w:rPr>
        <w:t>αποδοτικότητας, καθώς επίσης και ο βαθμός επίτευξης των στόχων της «επιχείρησης» (</w:t>
      </w:r>
      <w:proofErr w:type="spellStart"/>
      <w:r w:rsidRPr="00C21B24">
        <w:rPr>
          <w:rFonts w:ascii="Times New Roman" w:hAnsi="Times New Roman" w:cs="Times New Roman"/>
          <w:sz w:val="24"/>
          <w:szCs w:val="23"/>
        </w:rPr>
        <w:t>Βεργίδης</w:t>
      </w:r>
      <w:proofErr w:type="spellEnd"/>
      <w:r w:rsidRPr="00C21B24">
        <w:rPr>
          <w:rFonts w:ascii="Times New Roman" w:hAnsi="Times New Roman" w:cs="Times New Roman"/>
          <w:sz w:val="24"/>
          <w:szCs w:val="23"/>
        </w:rPr>
        <w:t xml:space="preserve"> &amp; </w:t>
      </w:r>
      <w:proofErr w:type="spellStart"/>
      <w:r w:rsidRPr="00C21B24">
        <w:rPr>
          <w:rFonts w:ascii="Times New Roman" w:hAnsi="Times New Roman" w:cs="Times New Roman"/>
          <w:sz w:val="24"/>
          <w:szCs w:val="23"/>
        </w:rPr>
        <w:t>Καραλής</w:t>
      </w:r>
      <w:proofErr w:type="spellEnd"/>
      <w:r w:rsidRPr="00C21B24">
        <w:rPr>
          <w:rFonts w:ascii="Times New Roman" w:hAnsi="Times New Roman" w:cs="Times New Roman"/>
          <w:sz w:val="24"/>
          <w:szCs w:val="23"/>
        </w:rPr>
        <w:t xml:space="preserve">, 2008). Στη δική μας περίπτωση μπορούν να τονιστούν η αποτελεσματικότητα της εκπαίδευσης στο γνωστικό αντικείμενο της Χημείας στη Δευτεροβάθμια Εκπαίδευση, βάση των αρχών της Πράσινης Χημείας, της βιωσιμότητας, του χαμηλότερου κόστους σε ενέργεια και πρώτες ύλες και στην προστασία του περιβάλλοντος. Τα τέσσερα επίπεδα που πρόκειται να εφαρμοστούν, όπως ο </w:t>
      </w:r>
      <w:proofErr w:type="spellStart"/>
      <w:r w:rsidRPr="00C21B24">
        <w:rPr>
          <w:rFonts w:ascii="Times New Roman" w:hAnsi="Times New Roman" w:cs="Times New Roman"/>
          <w:sz w:val="24"/>
          <w:szCs w:val="23"/>
        </w:rPr>
        <w:t>Kirkpatrick</w:t>
      </w:r>
      <w:proofErr w:type="spellEnd"/>
      <w:r w:rsidRPr="00C21B24">
        <w:rPr>
          <w:rFonts w:ascii="Times New Roman" w:hAnsi="Times New Roman" w:cs="Times New Roman"/>
          <w:sz w:val="24"/>
          <w:szCs w:val="23"/>
        </w:rPr>
        <w:t xml:space="preserve"> προτείνει, είναι της ανταπόκρισης, της μάθησης, της συμπεριφοράς και των αποτελεσμάτων (</w:t>
      </w:r>
      <w:proofErr w:type="spellStart"/>
      <w:r w:rsidRPr="00C21B24">
        <w:rPr>
          <w:rFonts w:ascii="Times New Roman" w:hAnsi="Times New Roman" w:cs="Times New Roman"/>
          <w:sz w:val="24"/>
          <w:szCs w:val="23"/>
        </w:rPr>
        <w:t>Βεργίδης</w:t>
      </w:r>
      <w:proofErr w:type="spellEnd"/>
      <w:r w:rsidRPr="00C21B24">
        <w:rPr>
          <w:rFonts w:ascii="Times New Roman" w:hAnsi="Times New Roman" w:cs="Times New Roman"/>
          <w:sz w:val="24"/>
          <w:szCs w:val="23"/>
        </w:rPr>
        <w:t xml:space="preserve"> &amp; </w:t>
      </w:r>
      <w:proofErr w:type="spellStart"/>
      <w:r w:rsidRPr="00C21B24">
        <w:rPr>
          <w:rFonts w:ascii="Times New Roman" w:hAnsi="Times New Roman" w:cs="Times New Roman"/>
          <w:sz w:val="24"/>
          <w:szCs w:val="23"/>
        </w:rPr>
        <w:t>Καραλής</w:t>
      </w:r>
      <w:proofErr w:type="spellEnd"/>
      <w:r w:rsidRPr="00C21B24">
        <w:rPr>
          <w:rFonts w:ascii="Times New Roman" w:hAnsi="Times New Roman" w:cs="Times New Roman"/>
          <w:sz w:val="24"/>
          <w:szCs w:val="23"/>
        </w:rPr>
        <w:t>, 2008).</w:t>
      </w:r>
    </w:p>
    <w:p w:rsidR="004613B3" w:rsidRPr="00C21B24" w:rsidRDefault="00800502" w:rsidP="00902CCF">
      <w:pPr>
        <w:spacing w:after="0" w:line="240" w:lineRule="auto"/>
        <w:ind w:firstLine="720"/>
        <w:jc w:val="both"/>
        <w:rPr>
          <w:rFonts w:ascii="Times New Roman" w:hAnsi="Times New Roman" w:cs="Times New Roman"/>
          <w:sz w:val="24"/>
          <w:szCs w:val="23"/>
        </w:rPr>
      </w:pPr>
      <w:r w:rsidRPr="00C21B24">
        <w:rPr>
          <w:rFonts w:ascii="Times New Roman" w:hAnsi="Times New Roman" w:cs="Times New Roman"/>
          <w:sz w:val="24"/>
          <w:szCs w:val="23"/>
        </w:rPr>
        <w:t>Η επιλογή της κατηγορίας αξιολόγησης αφορά κυρίως τους σχεδιαστές του εκπαιδευτικού Προγράμματος και από την επιλογή αυτή καθορίζεται αρχικά το πλαίσιο αξιολόγησης και επιλέγεται ο κατάλληλος τύπος και το μοντέλο αυτής (</w:t>
      </w:r>
      <w:proofErr w:type="spellStart"/>
      <w:r w:rsidRPr="00C21B24">
        <w:rPr>
          <w:rFonts w:ascii="Times New Roman" w:hAnsi="Times New Roman" w:cs="Times New Roman"/>
          <w:sz w:val="24"/>
          <w:szCs w:val="23"/>
        </w:rPr>
        <w:t>Βεργίδης</w:t>
      </w:r>
      <w:proofErr w:type="spellEnd"/>
      <w:r w:rsidRPr="00C21B24">
        <w:rPr>
          <w:rFonts w:ascii="Times New Roman" w:hAnsi="Times New Roman" w:cs="Times New Roman"/>
          <w:sz w:val="24"/>
          <w:szCs w:val="23"/>
        </w:rPr>
        <w:t xml:space="preserve"> &amp; </w:t>
      </w:r>
      <w:proofErr w:type="spellStart"/>
      <w:r w:rsidRPr="00C21B24">
        <w:rPr>
          <w:rFonts w:ascii="Times New Roman" w:hAnsi="Times New Roman" w:cs="Times New Roman"/>
          <w:sz w:val="24"/>
          <w:szCs w:val="23"/>
        </w:rPr>
        <w:t>Καραλής</w:t>
      </w:r>
      <w:proofErr w:type="spellEnd"/>
      <w:r w:rsidRPr="00C21B24">
        <w:rPr>
          <w:rFonts w:ascii="Times New Roman" w:hAnsi="Times New Roman" w:cs="Times New Roman"/>
          <w:sz w:val="24"/>
          <w:szCs w:val="23"/>
        </w:rPr>
        <w:t xml:space="preserve">, 2008). Με τη συμμετοχική αξιολόγηση ευελπιστούμε συλλογικά να επιλυθούν προβλήματα. Η ομάδα που θα αξιολογήσει το έργο θα έχει </w:t>
      </w:r>
      <w:r w:rsidRPr="00C21B24">
        <w:rPr>
          <w:rFonts w:ascii="Times New Roman" w:hAnsi="Times New Roman" w:cs="Times New Roman"/>
          <w:sz w:val="24"/>
          <w:szCs w:val="23"/>
        </w:rPr>
        <w:lastRenderedPageBreak/>
        <w:t>επιστήμονες, εκτός από χημικούς και άλλων επιστημών. Θα έχει επιπλέον μέλη από τους φορείς διοργάνωσης του Προγράμματος, δηλαδή από την Ένωση Ελλήνων Χημικών και το Ελληνικό Δίκτυο Πράσινης Χημείας. Τέλος, θα έχει μέλη από τους συναδέλφους χημικούς</w:t>
      </w:r>
      <w:r w:rsidR="001B6B3B" w:rsidRPr="00C21B24">
        <w:rPr>
          <w:rFonts w:ascii="Times New Roman" w:hAnsi="Times New Roman" w:cs="Times New Roman"/>
          <w:sz w:val="24"/>
          <w:szCs w:val="23"/>
        </w:rPr>
        <w:t xml:space="preserve"> </w:t>
      </w:r>
      <w:r w:rsidRPr="00C21B24">
        <w:rPr>
          <w:rFonts w:ascii="Times New Roman" w:hAnsi="Times New Roman" w:cs="Times New Roman"/>
          <w:sz w:val="24"/>
          <w:szCs w:val="23"/>
        </w:rPr>
        <w:t>-</w:t>
      </w:r>
      <w:r w:rsidR="001B6B3B" w:rsidRPr="00C21B24">
        <w:rPr>
          <w:rFonts w:ascii="Times New Roman" w:hAnsi="Times New Roman" w:cs="Times New Roman"/>
          <w:sz w:val="24"/>
          <w:szCs w:val="23"/>
        </w:rPr>
        <w:t xml:space="preserve"> </w:t>
      </w:r>
      <w:r w:rsidRPr="00C21B24">
        <w:rPr>
          <w:rFonts w:ascii="Times New Roman" w:hAnsi="Times New Roman" w:cs="Times New Roman"/>
          <w:sz w:val="24"/>
          <w:szCs w:val="23"/>
        </w:rPr>
        <w:t>συμμετέχοντες στο Πρόγραμμα. Επιδίωξη με την επιλογή αυτής της κατηγορίας αξιολόγησης είναι η συναίνεση για τη διατύπωση των αξιολογικών κρίσεων.</w:t>
      </w:r>
    </w:p>
    <w:p w:rsidR="00860628" w:rsidRPr="00110406" w:rsidRDefault="00860628" w:rsidP="00D22836">
      <w:pPr>
        <w:spacing w:line="240" w:lineRule="auto"/>
        <w:jc w:val="both"/>
        <w:rPr>
          <w:rFonts w:ascii="Times New Roman" w:hAnsi="Times New Roman" w:cs="Times New Roman"/>
          <w:sz w:val="24"/>
          <w:szCs w:val="24"/>
        </w:rPr>
      </w:pPr>
    </w:p>
    <w:p w:rsidR="00800502" w:rsidRPr="007E2852" w:rsidRDefault="00567939" w:rsidP="00902CCF">
      <w:pPr>
        <w:pStyle w:val="Default"/>
        <w:spacing w:before="240" w:after="240"/>
        <w:jc w:val="both"/>
      </w:pPr>
      <w:r>
        <w:rPr>
          <w:b/>
          <w:bCs/>
        </w:rPr>
        <w:t>3</w:t>
      </w:r>
      <w:r w:rsidR="00800502" w:rsidRPr="007E2852">
        <w:rPr>
          <w:b/>
          <w:bCs/>
        </w:rPr>
        <w:t xml:space="preserve">. </w:t>
      </w:r>
      <w:r w:rsidR="00436B16">
        <w:rPr>
          <w:b/>
          <w:bCs/>
        </w:rPr>
        <w:t>Συμπεράσματα</w:t>
      </w:r>
      <w:r w:rsidR="008D09AA">
        <w:rPr>
          <w:b/>
          <w:bCs/>
        </w:rPr>
        <w:t xml:space="preserve"> </w:t>
      </w:r>
    </w:p>
    <w:p w:rsidR="00800502" w:rsidRPr="00C21B24" w:rsidRDefault="00800502" w:rsidP="00902CCF">
      <w:pPr>
        <w:spacing w:line="240" w:lineRule="auto"/>
        <w:ind w:firstLine="720"/>
        <w:jc w:val="both"/>
        <w:rPr>
          <w:rFonts w:ascii="Times New Roman" w:hAnsi="Times New Roman" w:cs="Times New Roman"/>
          <w:sz w:val="24"/>
          <w:szCs w:val="23"/>
        </w:rPr>
      </w:pPr>
      <w:r w:rsidRPr="00C21B24">
        <w:rPr>
          <w:rFonts w:ascii="Times New Roman" w:hAnsi="Times New Roman" w:cs="Times New Roman"/>
          <w:sz w:val="24"/>
          <w:szCs w:val="23"/>
        </w:rPr>
        <w:t>Με τη βοήθεια κατά πρώτον ενός κατάλληλου ερωτηματολογίου και με τη δειγματοληψία κατά δεσμίδες και κατά δεύτερον με μη συμμετοχική παρατήρηση, μπορούν να διερευνηθούν οι εκπαιδευτικές ανάγκες όσων διδάσκουν Χημεία στην Δευτεροβάθμια Εκπαίδευση. Μεγάλο μέρος του πληθυσμού στόχου αγνοεί και δεν εφαρμόζει τις αρχές της Πράσινης Χημείας κατά την εκτέλεση του εκπαιδευτικού έργου, ειδικά μάλιστα κατά τις εργαστηριακές ασκήσεις. Ύστερα από τη διαπραγμάτευση και την αποσαφήνιση των εκπαιδευτικών αναγκών και προς κάλυψη των αναγκών αυτών, μπορεί να δομηθεί ένα Πρόγραμμα Επαγγελματικής Επιμόρφωσης, με συγκεκριμένο σκοπό και εκπαιδευτικές ενότητες. Μια εκπαιδευτική ενότητα του Προγράμματος, η ενότητα «Χαρακτηριστικά των διεργασιών που η Πράσινη Χημεία σχεδιάζει. Οι δώδεκα αρχές της Πράσινης Χημείας», αναλύθηκε</w:t>
      </w:r>
      <w:r w:rsidR="00277A9B" w:rsidRPr="00C21B24">
        <w:rPr>
          <w:rFonts w:ascii="Times New Roman" w:hAnsi="Times New Roman" w:cs="Times New Roman"/>
          <w:sz w:val="24"/>
          <w:szCs w:val="23"/>
        </w:rPr>
        <w:t xml:space="preserve"> </w:t>
      </w:r>
      <w:r w:rsidRPr="00C21B24">
        <w:rPr>
          <w:rFonts w:ascii="Times New Roman" w:hAnsi="Times New Roman" w:cs="Times New Roman"/>
          <w:sz w:val="24"/>
          <w:szCs w:val="23"/>
        </w:rPr>
        <w:t>όσο αφορά τους εκπαιδευτικούς στόχους στα τρία επίπεδα (γνώσεις, δεξιότητες και στάσεις). Η επιλογή των εκπαιδευτικών τεχνικών και των εποπτικών μέσων γίνεται με τρόπο που να προωθείται η ενεργητική συμμετοχή των εκπαιδευομένων και να υποκινείται το ενδιαφέρον τους. Με την αξιολόγηση του Προγράμματος μπορεί κάποιος να δει αν το Πρόγραμμα εξυπηρέτησε τους στόχους και τις ανάγκες, αλλά και να βελτιώσει την εκπαιδευτική διεργασία και τα αποτελέσματά της. Επιλέξαμε στο Πρόγραμμά μας να εφαρμοστούν και οι τρεις τύποι αξιολόγησης (αρχική, ενδιάμεση και τελική). Προτείνεται επίσης να εφαρμοστεί το μοντέλο των τεσσάρων επιπέδων, ενώ με τη συμμετοχική αξιολόγηση θα μπορούσε συλλογικά και με συναίνεση να επιλυθούν τυχόν προβλήματα.</w:t>
      </w:r>
    </w:p>
    <w:p w:rsidR="00800502" w:rsidRPr="00110406" w:rsidRDefault="00800502" w:rsidP="00D22836">
      <w:pPr>
        <w:spacing w:line="240" w:lineRule="auto"/>
        <w:rPr>
          <w:sz w:val="23"/>
          <w:szCs w:val="23"/>
        </w:rPr>
      </w:pPr>
    </w:p>
    <w:p w:rsidR="00800502" w:rsidRPr="00AC66E0" w:rsidRDefault="00567939" w:rsidP="00AC52DD">
      <w:pPr>
        <w:pStyle w:val="Default"/>
        <w:spacing w:before="240" w:after="240"/>
        <w:rPr>
          <w:szCs w:val="28"/>
        </w:rPr>
      </w:pPr>
      <w:r>
        <w:rPr>
          <w:b/>
          <w:bCs/>
          <w:szCs w:val="28"/>
        </w:rPr>
        <w:t>4</w:t>
      </w:r>
      <w:r w:rsidR="00800502" w:rsidRPr="00AC66E0">
        <w:rPr>
          <w:b/>
          <w:bCs/>
          <w:szCs w:val="28"/>
        </w:rPr>
        <w:t xml:space="preserve">. Βιβλιογραφικές Αναφορές </w:t>
      </w:r>
    </w:p>
    <w:p w:rsidR="00BC1054" w:rsidRPr="000C1E56" w:rsidRDefault="00BC1054" w:rsidP="00BC1054">
      <w:pPr>
        <w:pStyle w:val="Web"/>
        <w:spacing w:before="0" w:beforeAutospacing="0" w:after="0" w:afterAutospacing="0"/>
        <w:ind w:left="482" w:hanging="482"/>
        <w:jc w:val="both"/>
        <w:rPr>
          <w:noProof/>
          <w:highlight w:val="yellow"/>
        </w:rPr>
      </w:pPr>
      <w:r w:rsidRPr="00603F3E">
        <w:rPr>
          <w:noProof/>
        </w:rPr>
        <w:t>Βεργίδης, Δ</w:t>
      </w:r>
      <w:r>
        <w:rPr>
          <w:noProof/>
        </w:rPr>
        <w:t>. (1989</w:t>
      </w:r>
      <w:r w:rsidRPr="00603F3E">
        <w:rPr>
          <w:noProof/>
        </w:rPr>
        <w:t xml:space="preserve">). </w:t>
      </w:r>
      <w:r>
        <w:rPr>
          <w:i/>
          <w:noProof/>
        </w:rPr>
        <w:t>Αξιολόγηση της επιμόρφωσης των ενηλίκων</w:t>
      </w:r>
      <w:r>
        <w:rPr>
          <w:noProof/>
        </w:rPr>
        <w:t>.</w:t>
      </w:r>
      <w:r w:rsidRPr="00603F3E">
        <w:rPr>
          <w:noProof/>
        </w:rPr>
        <w:t xml:space="preserve"> </w:t>
      </w:r>
      <w:r>
        <w:rPr>
          <w:noProof/>
        </w:rPr>
        <w:t>Λήμμα στην Παιδαγωγική - Ψυχολογική Εγκυκλοπαίδια - Λεξικό.</w:t>
      </w:r>
      <w:r w:rsidRPr="00603F3E">
        <w:rPr>
          <w:noProof/>
        </w:rPr>
        <w:t xml:space="preserve"> Αθήνα: Εκδ. Ελληνικά Γράμματα.</w:t>
      </w:r>
    </w:p>
    <w:p w:rsidR="00BC1054" w:rsidRDefault="00BC1054" w:rsidP="00BC1054">
      <w:pPr>
        <w:pStyle w:val="Web"/>
        <w:spacing w:before="0" w:beforeAutospacing="0" w:after="0" w:afterAutospacing="0"/>
        <w:ind w:left="482" w:hanging="482"/>
        <w:jc w:val="both"/>
        <w:rPr>
          <w:noProof/>
        </w:rPr>
      </w:pPr>
      <w:r w:rsidRPr="00603F3E">
        <w:rPr>
          <w:noProof/>
        </w:rPr>
        <w:t>Βεργίδης, Δ.</w:t>
      </w:r>
      <w:r>
        <w:rPr>
          <w:noProof/>
        </w:rPr>
        <w:t>, &amp; Καραλής, Α.</w:t>
      </w:r>
      <w:r w:rsidRPr="00603F3E">
        <w:rPr>
          <w:noProof/>
        </w:rPr>
        <w:t xml:space="preserve"> (2008). </w:t>
      </w:r>
      <w:r w:rsidRPr="00603F3E">
        <w:rPr>
          <w:i/>
          <w:noProof/>
        </w:rPr>
        <w:t xml:space="preserve">Εισαγωγή στην εκπαίδευση ενηλίκων - </w:t>
      </w:r>
      <w:r>
        <w:rPr>
          <w:i/>
          <w:noProof/>
        </w:rPr>
        <w:t>Σχεδιασμός, οργάνωση και αξιολόγηση προγραμμάτων</w:t>
      </w:r>
      <w:r w:rsidRPr="00603F3E">
        <w:rPr>
          <w:noProof/>
        </w:rPr>
        <w:t xml:space="preserve">, τόμος </w:t>
      </w:r>
      <w:r>
        <w:rPr>
          <w:noProof/>
        </w:rPr>
        <w:t>Γ</w:t>
      </w:r>
      <w:r w:rsidRPr="00603F3E">
        <w:rPr>
          <w:noProof/>
        </w:rPr>
        <w:t>'. Πάτρα: Ε.Α.Π.</w:t>
      </w:r>
    </w:p>
    <w:p w:rsidR="00BC1054" w:rsidRDefault="00BC1054" w:rsidP="00BC1054">
      <w:pPr>
        <w:pStyle w:val="Web"/>
        <w:spacing w:before="0" w:beforeAutospacing="0" w:after="0" w:afterAutospacing="0"/>
        <w:ind w:left="482" w:hanging="482"/>
        <w:jc w:val="both"/>
        <w:rPr>
          <w:noProof/>
        </w:rPr>
      </w:pPr>
      <w:r w:rsidRPr="002A51D1">
        <w:rPr>
          <w:noProof/>
        </w:rPr>
        <w:t xml:space="preserve">Βλαχογιάννη, Θ., &amp; Βαλαβανίδης, Α. (2012). </w:t>
      </w:r>
      <w:r w:rsidRPr="002A51D1">
        <w:rPr>
          <w:i/>
          <w:noProof/>
        </w:rPr>
        <w:t>Πράσινη Χημεία και Πράσινη Τεχνολογία</w:t>
      </w:r>
      <w:r w:rsidRPr="002A51D1">
        <w:rPr>
          <w:noProof/>
        </w:rPr>
        <w:t>. Αθήνα: Εκδ. Σύγχρονα Θέματα.</w:t>
      </w:r>
    </w:p>
    <w:p w:rsidR="00BC1054" w:rsidRPr="005E3665" w:rsidRDefault="00BC1054" w:rsidP="00BC1054">
      <w:pPr>
        <w:pStyle w:val="Web"/>
        <w:spacing w:before="0" w:beforeAutospacing="0" w:after="0" w:afterAutospacing="0"/>
        <w:ind w:left="482" w:hanging="482"/>
        <w:jc w:val="both"/>
        <w:rPr>
          <w:noProof/>
        </w:rPr>
      </w:pPr>
      <w:r>
        <w:rPr>
          <w:rFonts w:eastAsiaTheme="minorHAnsi"/>
        </w:rPr>
        <w:t>Γιαννακοπούλου, Ε. (2006).</w:t>
      </w:r>
      <w:r w:rsidRPr="00667EB4">
        <w:rPr>
          <w:rFonts w:eastAsiaTheme="minorHAnsi"/>
        </w:rPr>
        <w:t xml:space="preserve"> </w:t>
      </w:r>
      <w:r w:rsidRPr="00667EB4">
        <w:rPr>
          <w:rFonts w:eastAsiaTheme="minorHAnsi"/>
          <w:i/>
        </w:rPr>
        <w:t>Σχεδιασμός Διδακτικής Ενότητας</w:t>
      </w:r>
      <w:r w:rsidRPr="00667EB4">
        <w:rPr>
          <w:rFonts w:eastAsiaTheme="minorHAnsi"/>
        </w:rPr>
        <w:t xml:space="preserve"> - </w:t>
      </w:r>
      <w:r w:rsidRPr="00667EB4">
        <w:rPr>
          <w:rFonts w:eastAsiaTheme="minorHAnsi"/>
          <w:iCs/>
        </w:rPr>
        <w:t>Πρόγραμμα Εκπαίδευσης Εκπαιδευτών</w:t>
      </w:r>
      <w:r w:rsidRPr="00667EB4">
        <w:rPr>
          <w:rFonts w:eastAsiaTheme="minorHAnsi"/>
        </w:rPr>
        <w:t>, τόμος ΙΙI, Αθήνα: ΕΚΕΠΙΣ.</w:t>
      </w:r>
    </w:p>
    <w:p w:rsidR="00BC1054" w:rsidRDefault="00BC1054" w:rsidP="00BC1054">
      <w:pPr>
        <w:pStyle w:val="Web"/>
        <w:spacing w:before="0" w:beforeAutospacing="0" w:after="0" w:afterAutospacing="0"/>
        <w:ind w:left="482" w:hanging="482"/>
        <w:jc w:val="both"/>
        <w:rPr>
          <w:noProof/>
        </w:rPr>
      </w:pPr>
      <w:r w:rsidRPr="00735D42">
        <w:t>Ελληνικό Δίκτυο Πράσινης Χημείας:</w:t>
      </w:r>
      <w:r w:rsidRPr="00735D42">
        <w:rPr>
          <w:noProof/>
        </w:rPr>
        <w:t xml:space="preserve"> Ανακτήθηκε 1</w:t>
      </w:r>
      <w:r w:rsidR="00700A47">
        <w:rPr>
          <w:noProof/>
        </w:rPr>
        <w:t>0</w:t>
      </w:r>
      <w:r w:rsidRPr="00735D42">
        <w:rPr>
          <w:noProof/>
        </w:rPr>
        <w:t xml:space="preserve"> </w:t>
      </w:r>
      <w:r w:rsidR="00700A47">
        <w:rPr>
          <w:noProof/>
        </w:rPr>
        <w:t>Σεπτεμβρίου</w:t>
      </w:r>
      <w:r w:rsidRPr="00735D42">
        <w:rPr>
          <w:noProof/>
        </w:rPr>
        <w:t xml:space="preserve"> 201</w:t>
      </w:r>
      <w:r w:rsidR="00700A47">
        <w:rPr>
          <w:noProof/>
        </w:rPr>
        <w:t>7</w:t>
      </w:r>
      <w:r w:rsidRPr="00735D42">
        <w:rPr>
          <w:noProof/>
        </w:rPr>
        <w:t xml:space="preserve">, από </w:t>
      </w:r>
      <w:r w:rsidR="00D74785" w:rsidRPr="00D74785">
        <w:rPr>
          <w:noProof/>
        </w:rPr>
        <w:t>http://www.chemistry.upatras.gr/hgcn/el/</w:t>
      </w:r>
    </w:p>
    <w:p w:rsidR="00BC1054" w:rsidRDefault="00BC1054" w:rsidP="00BC1054">
      <w:pPr>
        <w:pStyle w:val="Web"/>
        <w:spacing w:before="0" w:beforeAutospacing="0" w:after="0" w:afterAutospacing="0"/>
        <w:ind w:left="482" w:hanging="482"/>
        <w:jc w:val="both"/>
        <w:rPr>
          <w:noProof/>
        </w:rPr>
      </w:pPr>
      <w:r w:rsidRPr="00BC78E9">
        <w:rPr>
          <w:noProof/>
        </w:rPr>
        <w:t>Κ</w:t>
      </w:r>
      <w:r>
        <w:rPr>
          <w:noProof/>
        </w:rPr>
        <w:t>αψάλης</w:t>
      </w:r>
      <w:r w:rsidRPr="00BC78E9">
        <w:rPr>
          <w:noProof/>
        </w:rPr>
        <w:t>, Α.</w:t>
      </w:r>
      <w:r>
        <w:rPr>
          <w:noProof/>
        </w:rPr>
        <w:t>, &amp; Παπασταμάτης, Α.</w:t>
      </w:r>
      <w:r w:rsidRPr="00BC78E9">
        <w:rPr>
          <w:noProof/>
        </w:rPr>
        <w:t xml:space="preserve"> (20</w:t>
      </w:r>
      <w:r>
        <w:rPr>
          <w:noProof/>
        </w:rPr>
        <w:t>00</w:t>
      </w:r>
      <w:r w:rsidRPr="00BC78E9">
        <w:rPr>
          <w:noProof/>
        </w:rPr>
        <w:t xml:space="preserve">). </w:t>
      </w:r>
      <w:r>
        <w:rPr>
          <w:i/>
          <w:noProof/>
        </w:rPr>
        <w:t>Εκπαίδευση ενηλίκων</w:t>
      </w:r>
      <w:r>
        <w:rPr>
          <w:noProof/>
        </w:rPr>
        <w:t xml:space="preserve"> - Β' διδακτική ενηλίκων</w:t>
      </w:r>
      <w:r w:rsidRPr="00BC78E9">
        <w:rPr>
          <w:noProof/>
        </w:rPr>
        <w:t xml:space="preserve">. </w:t>
      </w:r>
      <w:r>
        <w:rPr>
          <w:noProof/>
        </w:rPr>
        <w:t>Θεσσαλονίκη</w:t>
      </w:r>
      <w:r w:rsidRPr="00BC78E9">
        <w:rPr>
          <w:noProof/>
        </w:rPr>
        <w:t xml:space="preserve">: </w:t>
      </w:r>
      <w:r>
        <w:rPr>
          <w:noProof/>
        </w:rPr>
        <w:t>Πανεπιστήμιο Μακεδονίας</w:t>
      </w:r>
      <w:r w:rsidRPr="00BC78E9">
        <w:rPr>
          <w:noProof/>
        </w:rPr>
        <w:t>.</w:t>
      </w:r>
    </w:p>
    <w:p w:rsidR="00BC1054" w:rsidRDefault="00BC1054" w:rsidP="00BC1054">
      <w:pPr>
        <w:pStyle w:val="Web"/>
        <w:spacing w:before="0" w:beforeAutospacing="0" w:after="0" w:afterAutospacing="0"/>
        <w:ind w:left="482" w:hanging="482"/>
        <w:jc w:val="both"/>
        <w:rPr>
          <w:noProof/>
        </w:rPr>
      </w:pPr>
      <w:r w:rsidRPr="00BC78E9">
        <w:rPr>
          <w:noProof/>
        </w:rPr>
        <w:t>Κόκκος, Α., Κουτρούμπα, Κ.,</w:t>
      </w:r>
      <w:r>
        <w:rPr>
          <w:noProof/>
        </w:rPr>
        <w:t xml:space="preserve"> &amp;</w:t>
      </w:r>
      <w:r w:rsidRPr="00BC78E9">
        <w:rPr>
          <w:noProof/>
        </w:rPr>
        <w:t xml:space="preserve"> Καραλής, Θ. (Επιμ.) (20</w:t>
      </w:r>
      <w:r>
        <w:rPr>
          <w:noProof/>
        </w:rPr>
        <w:t>10</w:t>
      </w:r>
      <w:r w:rsidRPr="00BC78E9">
        <w:rPr>
          <w:noProof/>
        </w:rPr>
        <w:t xml:space="preserve">). </w:t>
      </w:r>
      <w:r>
        <w:rPr>
          <w:i/>
          <w:noProof/>
        </w:rPr>
        <w:t>Εκπαίδευση εκπαιδευτών ενηλίκων</w:t>
      </w:r>
      <w:r>
        <w:rPr>
          <w:noProof/>
        </w:rPr>
        <w:t xml:space="preserve"> - Πρόγραμμα εκπαίδευσης από απόσταση διάρκειας 100 </w:t>
      </w:r>
      <w:r>
        <w:rPr>
          <w:noProof/>
        </w:rPr>
        <w:lastRenderedPageBreak/>
        <w:t>ωρών</w:t>
      </w:r>
      <w:r w:rsidRPr="00BC78E9">
        <w:rPr>
          <w:noProof/>
        </w:rPr>
        <w:t>. Αθήνα: Υπουργείο Εθνικής Παιδείας και Θρησκευμάτων - Γενική Γραμματεία Εκπαίδευσης Ενηλίκων - Ινστιτούτο Διαρκούς Εκπαίδευσης Ενηλίκων.</w:t>
      </w:r>
    </w:p>
    <w:p w:rsidR="00BC1054" w:rsidRPr="00D630F4" w:rsidRDefault="00BC1054" w:rsidP="00BC1054">
      <w:pPr>
        <w:pStyle w:val="Web"/>
        <w:spacing w:before="0" w:beforeAutospacing="0" w:after="0" w:afterAutospacing="0"/>
        <w:ind w:left="482" w:hanging="482"/>
        <w:jc w:val="both"/>
        <w:rPr>
          <w:noProof/>
        </w:rPr>
      </w:pPr>
      <w:proofErr w:type="spellStart"/>
      <w:r>
        <w:rPr>
          <w:rFonts w:eastAsiaTheme="minorHAnsi"/>
        </w:rPr>
        <w:t>Μαυρογιώργος</w:t>
      </w:r>
      <w:proofErr w:type="spellEnd"/>
      <w:r>
        <w:rPr>
          <w:rFonts w:eastAsiaTheme="minorHAnsi"/>
        </w:rPr>
        <w:t>, Γ. (2006).</w:t>
      </w:r>
      <w:r w:rsidRPr="00D630F4">
        <w:rPr>
          <w:rFonts w:eastAsiaTheme="minorHAnsi"/>
        </w:rPr>
        <w:t xml:space="preserve"> </w:t>
      </w:r>
      <w:r w:rsidRPr="00924A64">
        <w:rPr>
          <w:rFonts w:eastAsiaTheme="minorHAnsi"/>
          <w:i/>
        </w:rPr>
        <w:t>Αξιολόγηση του Εκπαιδευτικού Έργου</w:t>
      </w:r>
      <w:r>
        <w:rPr>
          <w:rFonts w:eastAsiaTheme="minorHAnsi"/>
        </w:rPr>
        <w:t xml:space="preserve"> -</w:t>
      </w:r>
      <w:r w:rsidRPr="00D630F4">
        <w:rPr>
          <w:rFonts w:eastAsiaTheme="minorHAnsi"/>
        </w:rPr>
        <w:t xml:space="preserve"> </w:t>
      </w:r>
      <w:r w:rsidRPr="00924A64">
        <w:rPr>
          <w:rFonts w:eastAsiaTheme="minorHAnsi"/>
          <w:iCs/>
        </w:rPr>
        <w:t>Πρόγραμμα Εκπαίδευσης Εκπαιδευτών</w:t>
      </w:r>
      <w:r w:rsidRPr="00D630F4">
        <w:rPr>
          <w:rFonts w:eastAsiaTheme="minorHAnsi"/>
        </w:rPr>
        <w:t>, τόμος ΙΙΙ, Αθήνα:</w:t>
      </w:r>
      <w:r>
        <w:rPr>
          <w:rFonts w:eastAsiaTheme="minorHAnsi"/>
        </w:rPr>
        <w:t xml:space="preserve"> </w:t>
      </w:r>
      <w:r w:rsidRPr="00D630F4">
        <w:rPr>
          <w:rFonts w:eastAsiaTheme="minorHAnsi"/>
        </w:rPr>
        <w:t>ΕΚΕΠΙΣ.</w:t>
      </w:r>
    </w:p>
    <w:p w:rsidR="00BC1054" w:rsidRPr="00917B99" w:rsidRDefault="00BC1054" w:rsidP="00BC1054">
      <w:pPr>
        <w:pStyle w:val="Web"/>
        <w:spacing w:before="0" w:beforeAutospacing="0" w:after="0" w:afterAutospacing="0"/>
        <w:ind w:left="482" w:hanging="482"/>
        <w:jc w:val="both"/>
      </w:pPr>
      <w:r>
        <w:rPr>
          <w:noProof/>
          <w:lang w:val="en-US"/>
        </w:rPr>
        <w:t>Rogers</w:t>
      </w:r>
      <w:r>
        <w:rPr>
          <w:noProof/>
        </w:rPr>
        <w:t xml:space="preserve">, </w:t>
      </w:r>
      <w:r>
        <w:rPr>
          <w:noProof/>
          <w:lang w:val="en-US"/>
        </w:rPr>
        <w:t>A</w:t>
      </w:r>
      <w:r>
        <w:rPr>
          <w:noProof/>
        </w:rPr>
        <w:t xml:space="preserve">. (1999). </w:t>
      </w:r>
      <w:r w:rsidRPr="00994141">
        <w:rPr>
          <w:i/>
          <w:noProof/>
        </w:rPr>
        <w:t>Η Εκπαίδευση Ενηλίκων</w:t>
      </w:r>
      <w:r>
        <w:rPr>
          <w:i/>
          <w:noProof/>
        </w:rPr>
        <w:t xml:space="preserve"> </w:t>
      </w:r>
      <w:r w:rsidRPr="00994141">
        <w:rPr>
          <w:noProof/>
        </w:rPr>
        <w:t>(μτφ. Παπαδοπούλου Μ</w:t>
      </w:r>
      <w:r>
        <w:rPr>
          <w:noProof/>
        </w:rPr>
        <w:t>.</w:t>
      </w:r>
      <w:r w:rsidRPr="00994141">
        <w:rPr>
          <w:noProof/>
        </w:rPr>
        <w:t xml:space="preserve"> &amp; Τόμπρου Μ.).</w:t>
      </w:r>
      <w:r>
        <w:rPr>
          <w:noProof/>
        </w:rPr>
        <w:t xml:space="preserve"> Αθήνα: Εκδ. Μεταίχμιο. (Έτος έκδοσης πρωτοτύπου 1996).</w:t>
      </w:r>
      <w:r w:rsidRPr="00917B99">
        <w:rPr>
          <w:rStyle w:val="a7"/>
          <w:b w:val="0"/>
        </w:rPr>
        <w:t xml:space="preserve"> </w:t>
      </w:r>
    </w:p>
    <w:p w:rsidR="00BC1054" w:rsidRDefault="00BC1054" w:rsidP="00BC1054">
      <w:pPr>
        <w:pStyle w:val="Default"/>
        <w:jc w:val="both"/>
        <w:rPr>
          <w:szCs w:val="23"/>
          <w:highlight w:val="yellow"/>
        </w:rPr>
      </w:pPr>
    </w:p>
    <w:sectPr w:rsidR="00BC1054" w:rsidSect="00D81F53">
      <w:footerReference w:type="default" r:id="rId10"/>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95894" w:rsidRDefault="00795894" w:rsidP="00E14B30">
      <w:pPr>
        <w:spacing w:after="0" w:line="240" w:lineRule="auto"/>
      </w:pPr>
      <w:r>
        <w:separator/>
      </w:r>
    </w:p>
  </w:endnote>
  <w:endnote w:type="continuationSeparator" w:id="0">
    <w:p w:rsidR="00795894" w:rsidRDefault="00795894" w:rsidP="00E14B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0002AFF" w:usb1="C000247B"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4B30" w:rsidRDefault="00E14B30">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95894" w:rsidRDefault="00795894" w:rsidP="00E14B30">
      <w:pPr>
        <w:spacing w:after="0" w:line="240" w:lineRule="auto"/>
      </w:pPr>
      <w:r>
        <w:separator/>
      </w:r>
    </w:p>
  </w:footnote>
  <w:footnote w:type="continuationSeparator" w:id="0">
    <w:p w:rsidR="00795894" w:rsidRDefault="00795894" w:rsidP="00E14B3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83DB9C65"/>
    <w:multiLevelType w:val="hybridMultilevel"/>
    <w:tmpl w:val="DFAC2B1E"/>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CB2DB8E"/>
    <w:multiLevelType w:val="hybridMultilevel"/>
    <w:tmpl w:val="03F575C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26C98842"/>
    <w:multiLevelType w:val="hybridMultilevel"/>
    <w:tmpl w:val="E55ED8B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3889274E"/>
    <w:multiLevelType w:val="hybridMultilevel"/>
    <w:tmpl w:val="46802F68"/>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4" w15:restartNumberingAfterBreak="0">
    <w:nsid w:val="4EE436F7"/>
    <w:multiLevelType w:val="hybridMultilevel"/>
    <w:tmpl w:val="7F2AFB26"/>
    <w:lvl w:ilvl="0" w:tplc="04080005">
      <w:start w:val="1"/>
      <w:numFmt w:val="bullet"/>
      <w:lvlText w:val=""/>
      <w:lvlJc w:val="left"/>
      <w:pPr>
        <w:ind w:left="360" w:hanging="360"/>
      </w:pPr>
      <w:rPr>
        <w:rFonts w:ascii="Wingdings" w:hAnsi="Wingdings"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num w:numId="1">
    <w:abstractNumId w:val="2"/>
  </w:num>
  <w:num w:numId="2">
    <w:abstractNumId w:val="1"/>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800502"/>
    <w:rsid w:val="0000549F"/>
    <w:rsid w:val="000412B5"/>
    <w:rsid w:val="0004149A"/>
    <w:rsid w:val="0004685A"/>
    <w:rsid w:val="000E57DB"/>
    <w:rsid w:val="00110406"/>
    <w:rsid w:val="00122D4A"/>
    <w:rsid w:val="001351DF"/>
    <w:rsid w:val="00181072"/>
    <w:rsid w:val="00187BA0"/>
    <w:rsid w:val="001B6B3B"/>
    <w:rsid w:val="001B76B0"/>
    <w:rsid w:val="001F23AB"/>
    <w:rsid w:val="0020433B"/>
    <w:rsid w:val="00206143"/>
    <w:rsid w:val="00240986"/>
    <w:rsid w:val="00261F0F"/>
    <w:rsid w:val="00277A9B"/>
    <w:rsid w:val="002859EB"/>
    <w:rsid w:val="002D516C"/>
    <w:rsid w:val="002F02BF"/>
    <w:rsid w:val="00337ABE"/>
    <w:rsid w:val="00372B70"/>
    <w:rsid w:val="00374DA8"/>
    <w:rsid w:val="0037756A"/>
    <w:rsid w:val="003A1AE1"/>
    <w:rsid w:val="00436B16"/>
    <w:rsid w:val="0045140B"/>
    <w:rsid w:val="00455829"/>
    <w:rsid w:val="00455EEA"/>
    <w:rsid w:val="004613B3"/>
    <w:rsid w:val="004F0D6C"/>
    <w:rsid w:val="0055190A"/>
    <w:rsid w:val="00557DFB"/>
    <w:rsid w:val="00567939"/>
    <w:rsid w:val="005779F5"/>
    <w:rsid w:val="00585DE3"/>
    <w:rsid w:val="005B228B"/>
    <w:rsid w:val="005F0CFD"/>
    <w:rsid w:val="005F27EB"/>
    <w:rsid w:val="00643D0F"/>
    <w:rsid w:val="006B1661"/>
    <w:rsid w:val="006B4CDC"/>
    <w:rsid w:val="006F496F"/>
    <w:rsid w:val="00700A47"/>
    <w:rsid w:val="00706BCE"/>
    <w:rsid w:val="0075680C"/>
    <w:rsid w:val="00780977"/>
    <w:rsid w:val="00791CFC"/>
    <w:rsid w:val="00795894"/>
    <w:rsid w:val="007A1761"/>
    <w:rsid w:val="007A72A1"/>
    <w:rsid w:val="007E2852"/>
    <w:rsid w:val="007E71C9"/>
    <w:rsid w:val="00800502"/>
    <w:rsid w:val="00860628"/>
    <w:rsid w:val="0086413B"/>
    <w:rsid w:val="00887D3C"/>
    <w:rsid w:val="00892CB6"/>
    <w:rsid w:val="008D09AA"/>
    <w:rsid w:val="008D6732"/>
    <w:rsid w:val="008F542B"/>
    <w:rsid w:val="00902CCF"/>
    <w:rsid w:val="00910780"/>
    <w:rsid w:val="00931A26"/>
    <w:rsid w:val="00956CAF"/>
    <w:rsid w:val="00957768"/>
    <w:rsid w:val="00960902"/>
    <w:rsid w:val="0099777A"/>
    <w:rsid w:val="009C2D25"/>
    <w:rsid w:val="009C54AA"/>
    <w:rsid w:val="009F014B"/>
    <w:rsid w:val="00A05C30"/>
    <w:rsid w:val="00A11042"/>
    <w:rsid w:val="00A17F10"/>
    <w:rsid w:val="00A239D5"/>
    <w:rsid w:val="00A432C7"/>
    <w:rsid w:val="00A73355"/>
    <w:rsid w:val="00AA491E"/>
    <w:rsid w:val="00AB5697"/>
    <w:rsid w:val="00AC52DD"/>
    <w:rsid w:val="00AC66E0"/>
    <w:rsid w:val="00AC6961"/>
    <w:rsid w:val="00B0138A"/>
    <w:rsid w:val="00B156AD"/>
    <w:rsid w:val="00B81122"/>
    <w:rsid w:val="00B930F6"/>
    <w:rsid w:val="00BA51C0"/>
    <w:rsid w:val="00BC1054"/>
    <w:rsid w:val="00BD67E9"/>
    <w:rsid w:val="00BE409D"/>
    <w:rsid w:val="00C111A0"/>
    <w:rsid w:val="00C21B24"/>
    <w:rsid w:val="00C620AF"/>
    <w:rsid w:val="00C75F6A"/>
    <w:rsid w:val="00CB7CA2"/>
    <w:rsid w:val="00CC460F"/>
    <w:rsid w:val="00D01607"/>
    <w:rsid w:val="00D0310B"/>
    <w:rsid w:val="00D22836"/>
    <w:rsid w:val="00D34AA9"/>
    <w:rsid w:val="00D74785"/>
    <w:rsid w:val="00D81F53"/>
    <w:rsid w:val="00D874DB"/>
    <w:rsid w:val="00D95A0E"/>
    <w:rsid w:val="00DB4068"/>
    <w:rsid w:val="00DF1E35"/>
    <w:rsid w:val="00E03AD2"/>
    <w:rsid w:val="00E14B30"/>
    <w:rsid w:val="00E41317"/>
    <w:rsid w:val="00E60B05"/>
    <w:rsid w:val="00E654A0"/>
    <w:rsid w:val="00EF1630"/>
    <w:rsid w:val="00EF5543"/>
    <w:rsid w:val="00F0141F"/>
    <w:rsid w:val="00F0267B"/>
    <w:rsid w:val="00F13FB9"/>
    <w:rsid w:val="00F3636E"/>
    <w:rsid w:val="00F65645"/>
    <w:rsid w:val="00F67230"/>
    <w:rsid w:val="00F838C9"/>
    <w:rsid w:val="00FB766A"/>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FDACF0"/>
  <w15:docId w15:val="{3B7D44B1-C735-4CB2-A4BF-FD3C87D8F6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D81F5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800502"/>
    <w:pPr>
      <w:autoSpaceDE w:val="0"/>
      <w:autoSpaceDN w:val="0"/>
      <w:adjustRightInd w:val="0"/>
      <w:spacing w:after="0" w:line="240" w:lineRule="auto"/>
    </w:pPr>
    <w:rPr>
      <w:rFonts w:ascii="Times New Roman" w:hAnsi="Times New Roman" w:cs="Times New Roman"/>
      <w:color w:val="000000"/>
      <w:sz w:val="24"/>
      <w:szCs w:val="24"/>
    </w:rPr>
  </w:style>
  <w:style w:type="paragraph" w:styleId="a3">
    <w:name w:val="Balloon Text"/>
    <w:basedOn w:val="a"/>
    <w:link w:val="Char"/>
    <w:uiPriority w:val="99"/>
    <w:semiHidden/>
    <w:unhideWhenUsed/>
    <w:rsid w:val="00800502"/>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800502"/>
    <w:rPr>
      <w:rFonts w:ascii="Tahoma" w:hAnsi="Tahoma" w:cs="Tahoma"/>
      <w:sz w:val="16"/>
      <w:szCs w:val="16"/>
    </w:rPr>
  </w:style>
  <w:style w:type="character" w:styleId="-">
    <w:name w:val="Hyperlink"/>
    <w:basedOn w:val="a0"/>
    <w:rsid w:val="00110406"/>
    <w:rPr>
      <w:color w:val="0000FF"/>
      <w:u w:val="single"/>
    </w:rPr>
  </w:style>
  <w:style w:type="table" w:customStyle="1" w:styleId="-11">
    <w:name w:val="Ανοιχτόχρωμη λίστα - ΄Εμφαση 11"/>
    <w:basedOn w:val="a1"/>
    <w:uiPriority w:val="61"/>
    <w:rsid w:val="0045140B"/>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paragraph" w:styleId="a4">
    <w:name w:val="List Paragraph"/>
    <w:basedOn w:val="a"/>
    <w:uiPriority w:val="34"/>
    <w:qFormat/>
    <w:rsid w:val="0045140B"/>
    <w:pPr>
      <w:ind w:left="720"/>
      <w:contextualSpacing/>
    </w:pPr>
    <w:rPr>
      <w:rFonts w:ascii="Calibri" w:eastAsia="Times New Roman" w:hAnsi="Calibri" w:cs="Times New Roman"/>
    </w:rPr>
  </w:style>
  <w:style w:type="paragraph" w:styleId="a5">
    <w:name w:val="header"/>
    <w:basedOn w:val="a"/>
    <w:link w:val="Char0"/>
    <w:uiPriority w:val="99"/>
    <w:unhideWhenUsed/>
    <w:rsid w:val="00E14B30"/>
    <w:pPr>
      <w:tabs>
        <w:tab w:val="center" w:pos="4153"/>
        <w:tab w:val="right" w:pos="8306"/>
      </w:tabs>
      <w:spacing w:after="0" w:line="240" w:lineRule="auto"/>
    </w:pPr>
  </w:style>
  <w:style w:type="character" w:customStyle="1" w:styleId="Char0">
    <w:name w:val="Κεφαλίδα Char"/>
    <w:basedOn w:val="a0"/>
    <w:link w:val="a5"/>
    <w:uiPriority w:val="99"/>
    <w:rsid w:val="00E14B30"/>
  </w:style>
  <w:style w:type="paragraph" w:styleId="a6">
    <w:name w:val="footer"/>
    <w:basedOn w:val="a"/>
    <w:link w:val="Char1"/>
    <w:uiPriority w:val="99"/>
    <w:unhideWhenUsed/>
    <w:rsid w:val="00E14B30"/>
    <w:pPr>
      <w:tabs>
        <w:tab w:val="center" w:pos="4153"/>
        <w:tab w:val="right" w:pos="8306"/>
      </w:tabs>
      <w:spacing w:after="0" w:line="240" w:lineRule="auto"/>
    </w:pPr>
  </w:style>
  <w:style w:type="character" w:customStyle="1" w:styleId="Char1">
    <w:name w:val="Υποσέλιδο Char"/>
    <w:basedOn w:val="a0"/>
    <w:link w:val="a6"/>
    <w:uiPriority w:val="99"/>
    <w:rsid w:val="00E14B30"/>
  </w:style>
  <w:style w:type="character" w:styleId="a7">
    <w:name w:val="Strong"/>
    <w:uiPriority w:val="22"/>
    <w:qFormat/>
    <w:rsid w:val="00BC1054"/>
    <w:rPr>
      <w:b/>
      <w:bCs/>
    </w:rPr>
  </w:style>
  <w:style w:type="paragraph" w:styleId="Web">
    <w:name w:val="Normal (Web)"/>
    <w:basedOn w:val="a"/>
    <w:uiPriority w:val="99"/>
    <w:rsid w:val="00BC1054"/>
    <w:pPr>
      <w:spacing w:before="100" w:beforeAutospacing="1" w:after="100" w:afterAutospacing="1" w:line="240" w:lineRule="auto"/>
    </w:pPr>
    <w:rPr>
      <w:rFonts w:ascii="Times New Roman" w:eastAsia="Times New Roman" w:hAnsi="Times New Roman" w:cs="Times New Roman"/>
      <w:sz w:val="24"/>
      <w:szCs w:val="24"/>
      <w:lang w:eastAsia="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thanasopoulosd@gmai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larvanit@gmail.com"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8A6D90C-4FD2-45BC-BBF8-CDC2E85E3A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TotalTime>
  <Pages>11</Pages>
  <Words>4051</Words>
  <Characters>21880</Characters>
  <Application>Microsoft Office Word</Application>
  <DocSecurity>0</DocSecurity>
  <Lines>182</Lines>
  <Paragraphs>51</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25880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Dimitrios Athanasopoulos</cp:lastModifiedBy>
  <cp:revision>93</cp:revision>
  <dcterms:created xsi:type="dcterms:W3CDTF">2017-09-05T19:14:00Z</dcterms:created>
  <dcterms:modified xsi:type="dcterms:W3CDTF">2017-10-15T12:09:00Z</dcterms:modified>
</cp:coreProperties>
</file>