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709E" w14:textId="7204E47F" w:rsidR="005D688B" w:rsidRPr="00111F9E" w:rsidRDefault="005B5AEA" w:rsidP="005D68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Mixed Diamine-Thiolate Ni Complex: The Case of an Abundant Green Catalyst </w:t>
      </w:r>
      <w:r w:rsidR="00D07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the </w:t>
      </w:r>
      <w:proofErr w:type="spellStart"/>
      <w:r w:rsidR="00D07A6C">
        <w:rPr>
          <w:rFonts w:ascii="Times New Roman" w:hAnsi="Times New Roman" w:cs="Times New Roman"/>
          <w:b/>
          <w:sz w:val="28"/>
          <w:szCs w:val="28"/>
          <w:lang w:val="en-US"/>
        </w:rPr>
        <w:t>Photoreduction</w:t>
      </w:r>
      <w:proofErr w:type="spellEnd"/>
      <w:r w:rsidR="00D07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Water</w:t>
      </w:r>
    </w:p>
    <w:p w14:paraId="2F79B1D0" w14:textId="77777777" w:rsidR="005B5AEA" w:rsidRDefault="005B5AEA" w:rsidP="005D688B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6C55162" w14:textId="6AA73720" w:rsidR="00EF7494" w:rsidRDefault="005D688B" w:rsidP="005B5A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1F9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Fotios I. </w:t>
      </w:r>
      <w:proofErr w:type="gramStart"/>
      <w:r w:rsidRPr="00111F9E">
        <w:rPr>
          <w:rFonts w:ascii="Times New Roman" w:hAnsi="Times New Roman" w:cs="Times New Roman"/>
          <w:sz w:val="24"/>
          <w:szCs w:val="24"/>
          <w:u w:val="single"/>
          <w:lang w:val="en-US"/>
        </w:rPr>
        <w:t>Kamatsos</w:t>
      </w:r>
      <w:r w:rsidRPr="00111F9E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111F9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hristiana </w:t>
      </w:r>
      <w:r w:rsidRPr="00111F9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11F9E">
        <w:rPr>
          <w:rFonts w:ascii="Times New Roman" w:hAnsi="Times New Roman" w:cs="Times New Roman"/>
          <w:sz w:val="24"/>
          <w:szCs w:val="24"/>
          <w:lang w:val="en-US"/>
        </w:rPr>
        <w:t>Mitsopoulou</w:t>
      </w:r>
      <w:proofErr w:type="spellEnd"/>
      <w:r w:rsidRPr="00111F9E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0AD01EE8" w14:textId="0E243364" w:rsidR="00EF7494" w:rsidRPr="005B5AEA" w:rsidRDefault="00EF7494" w:rsidP="005B5AEA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5B5AEA">
        <w:rPr>
          <w:rFonts w:ascii="Times New Roman" w:hAnsi="Times New Roman" w:cs="Times New Roman"/>
          <w:i/>
          <w:lang w:val="en-US"/>
        </w:rPr>
        <w:t xml:space="preserve">Chemistry Dep., Inorganic Chemistry Lab., National and </w:t>
      </w:r>
      <w:proofErr w:type="spellStart"/>
      <w:r w:rsidRPr="005B5AEA">
        <w:rPr>
          <w:rFonts w:ascii="Times New Roman" w:hAnsi="Times New Roman" w:cs="Times New Roman"/>
          <w:i/>
          <w:lang w:val="en-US"/>
        </w:rPr>
        <w:t>Kapodistrian</w:t>
      </w:r>
      <w:proofErr w:type="spellEnd"/>
      <w:r w:rsidRPr="005B5AEA">
        <w:rPr>
          <w:rFonts w:ascii="Times New Roman" w:hAnsi="Times New Roman" w:cs="Times New Roman"/>
          <w:i/>
          <w:lang w:val="en-US"/>
        </w:rPr>
        <w:t xml:space="preserve"> University of Athens, </w:t>
      </w:r>
      <w:proofErr w:type="spellStart"/>
      <w:r w:rsidRPr="005B5AEA">
        <w:rPr>
          <w:rFonts w:ascii="Times New Roman" w:hAnsi="Times New Roman" w:cs="Times New Roman"/>
          <w:i/>
          <w:lang w:val="en-US"/>
        </w:rPr>
        <w:t>Panepistimiopolis</w:t>
      </w:r>
      <w:proofErr w:type="spellEnd"/>
      <w:r w:rsidRPr="005B5AE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B5AEA">
        <w:rPr>
          <w:rFonts w:ascii="Times New Roman" w:hAnsi="Times New Roman" w:cs="Times New Roman"/>
          <w:i/>
          <w:lang w:val="en-US"/>
        </w:rPr>
        <w:t>Zografou</w:t>
      </w:r>
      <w:proofErr w:type="spellEnd"/>
      <w:r w:rsidRPr="005B5AEA">
        <w:rPr>
          <w:rFonts w:ascii="Times New Roman" w:hAnsi="Times New Roman" w:cs="Times New Roman"/>
          <w:i/>
          <w:lang w:val="en-US"/>
        </w:rPr>
        <w:t>, 15771 Athens, Greece</w:t>
      </w:r>
    </w:p>
    <w:p w14:paraId="3EB96A03" w14:textId="3F6512D1" w:rsidR="005B5AEA" w:rsidRPr="005B5AEA" w:rsidRDefault="005530E7" w:rsidP="005B5AEA">
      <w:pPr>
        <w:spacing w:after="0" w:line="240" w:lineRule="auto"/>
        <w:rPr>
          <w:rFonts w:ascii="Times New Roman" w:hAnsi="Times New Roman" w:cs="Times New Roman"/>
          <w:i/>
          <w:color w:val="FF0000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lang w:val="en-US"/>
        </w:rPr>
        <w:t>fotiskam@chem.uoa.gr</w:t>
      </w:r>
      <w:r w:rsidR="005B5AEA" w:rsidRPr="00A66796">
        <w:rPr>
          <w:rFonts w:ascii="Times New Roman" w:hAnsi="Times New Roman" w:cs="Times New Roman"/>
          <w:i/>
          <w:color w:val="000000" w:themeColor="text1"/>
          <w:lang w:val="en-US"/>
        </w:rPr>
        <w:t>,</w:t>
      </w:r>
      <w:r w:rsidR="005B5AEA" w:rsidRPr="005B5AEA">
        <w:rPr>
          <w:rFonts w:ascii="Times New Roman" w:hAnsi="Times New Roman" w:cs="Times New Roman"/>
          <w:i/>
          <w:color w:val="FF0000"/>
          <w:lang w:val="en-US"/>
        </w:rPr>
        <w:t xml:space="preserve"> </w:t>
      </w:r>
      <w:r w:rsidR="005B5AEA" w:rsidRPr="005B5AEA">
        <w:rPr>
          <w:rFonts w:ascii="Times New Roman" w:hAnsi="Times New Roman" w:cs="Times New Roman"/>
          <w:i/>
          <w:lang w:val="en-US"/>
        </w:rPr>
        <w:t>cmitsop@chem.uoa.gr</w:t>
      </w:r>
    </w:p>
    <w:p w14:paraId="2FEE4865" w14:textId="77777777" w:rsidR="00EF7494" w:rsidRDefault="00EF749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D499CCD" w14:textId="55411C3D" w:rsidR="001F3084" w:rsidRPr="002759F7" w:rsidRDefault="002759F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759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Abstract</w:t>
      </w:r>
    </w:p>
    <w:p w14:paraId="6C1151F1" w14:textId="30B75D54" w:rsidR="005D688B" w:rsidRPr="00A30DE5" w:rsidRDefault="005D688B" w:rsidP="005D688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DE5">
        <w:rPr>
          <w:rFonts w:ascii="Times New Roman" w:hAnsi="Times New Roman" w:cs="Times New Roman"/>
          <w:sz w:val="24"/>
          <w:szCs w:val="24"/>
          <w:lang w:val="en"/>
        </w:rPr>
        <w:t>Hydrogen production by water splitting is a holy grail of science, being one route to a non-fossil fuel and a potential source of clean energy. The photocatalytic cleavage of water is one way to utili</w:t>
      </w:r>
      <w:r w:rsidR="005B5AEA">
        <w:rPr>
          <w:rFonts w:ascii="Times New Roman" w:hAnsi="Times New Roman" w:cs="Times New Roman"/>
          <w:sz w:val="24"/>
          <w:szCs w:val="24"/>
          <w:lang w:val="en"/>
        </w:rPr>
        <w:t>z</w:t>
      </w:r>
      <w:r w:rsidRPr="00A30DE5">
        <w:rPr>
          <w:rFonts w:ascii="Times New Roman" w:hAnsi="Times New Roman" w:cs="Times New Roman"/>
          <w:sz w:val="24"/>
          <w:szCs w:val="24"/>
          <w:lang w:val="en"/>
        </w:rPr>
        <w:t xml:space="preserve">e sunlight energy. For this purpose both photosensitizers and catalysts are required [1]. 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Neutral metal 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bis-dithiolene</w:t>
      </w:r>
      <w:proofErr w:type="spellEnd"/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and mixed diamine-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951E18" w:rsidRPr="00A30DE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hiolate</w:t>
      </w:r>
      <w:proofErr w:type="spellEnd"/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complexes have attracted the interest of inorganic chemists and physicists for multiple reasons [2]. In 1990’s some 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bis-dithiolene</w:t>
      </w:r>
      <w:proofErr w:type="spellEnd"/>
      <w:r w:rsidR="005B5A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[2] and </w:t>
      </w:r>
      <w:proofErr w:type="spellStart"/>
      <w:r w:rsidR="0017494A">
        <w:rPr>
          <w:rFonts w:ascii="Times New Roman" w:hAnsi="Times New Roman" w:cs="Times New Roman"/>
          <w:sz w:val="24"/>
          <w:szCs w:val="24"/>
          <w:lang w:val="en-US"/>
        </w:rPr>
        <w:t>tris-dithiolene</w:t>
      </w:r>
      <w:proofErr w:type="spellEnd"/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 [3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] complexes had been reported as photosensitizers for the photocatalytic splitting of water, but they were inefficient. On the other side the catalytic activity of these comple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xes </w:t>
      </w:r>
      <w:proofErr w:type="gramStart"/>
      <w:r w:rsidR="0017494A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 been well documented [4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14FF353F" w14:textId="56FE03B8" w:rsidR="00951E18" w:rsidRDefault="005D688B" w:rsidP="00D07A6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Herein, we present our attempts to improve the stability and the photocatalytic properties of </w:t>
      </w:r>
      <w:r w:rsidR="00C22300">
        <w:rPr>
          <w:rFonts w:ascii="Times New Roman" w:hAnsi="Times New Roman" w:cs="Times New Roman"/>
          <w:sz w:val="24"/>
          <w:szCs w:val="24"/>
          <w:lang w:val="en-US"/>
        </w:rPr>
        <w:t>mixed diamine-thiolate complex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. For this purpose, we have synthesized and cha</w:t>
      </w:r>
      <w:r w:rsidR="00951E18" w:rsidRPr="00A30DE5">
        <w:rPr>
          <w:rFonts w:ascii="Times New Roman" w:hAnsi="Times New Roman" w:cs="Times New Roman"/>
          <w:sz w:val="24"/>
          <w:szCs w:val="24"/>
          <w:lang w:val="en-US"/>
        </w:rPr>
        <w:t>racterized a complex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of Ni(II) with diamine and thiolate ligands. The photocatalytic activity was tested in systems containing a sacrificial donor (</w:t>
      </w:r>
      <w:proofErr w:type="spellStart"/>
      <w:r w:rsidR="008C731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riethanolamine</w:t>
      </w:r>
      <w:proofErr w:type="spellEnd"/>
      <w:r w:rsidRPr="00A30DE5">
        <w:rPr>
          <w:rFonts w:ascii="Times New Roman" w:hAnsi="Times New Roman" w:cs="Times New Roman"/>
          <w:sz w:val="24"/>
          <w:szCs w:val="24"/>
          <w:lang w:val="en-US"/>
        </w:rPr>
        <w:t>), a photosensitizer (</w:t>
      </w:r>
      <w:r w:rsidR="008C731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luorescein) and our complex</w:t>
      </w:r>
      <w:r w:rsidR="00951E18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8C731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gramStart"/>
      <w:r w:rsidR="008C731F">
        <w:rPr>
          <w:rFonts w:ascii="Times New Roman" w:hAnsi="Times New Roman" w:cs="Times New Roman"/>
          <w:sz w:val="24"/>
          <w:szCs w:val="24"/>
          <w:lang w:val="en-US"/>
        </w:rPr>
        <w:t xml:space="preserve">reductive  </w:t>
      </w:r>
      <w:r w:rsidR="00951E18" w:rsidRPr="00A30DE5">
        <w:rPr>
          <w:rFonts w:ascii="Times New Roman" w:hAnsi="Times New Roman" w:cs="Times New Roman"/>
          <w:sz w:val="24"/>
          <w:szCs w:val="24"/>
          <w:lang w:val="en-US"/>
        </w:rPr>
        <w:t>catalyst</w:t>
      </w:r>
      <w:proofErr w:type="gramEnd"/>
      <w:r w:rsidR="00951E18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and it is about 4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TON</w:t>
      </w:r>
      <w:r w:rsidRPr="00A30D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cat</w:t>
      </w:r>
      <w:proofErr w:type="spellEnd"/>
      <w:r w:rsidR="00D07A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190F1" w14:textId="77777777" w:rsidR="00D07A6C" w:rsidRPr="00A30DE5" w:rsidRDefault="00D07A6C" w:rsidP="00D07A6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72174C" w14:textId="537C16AA" w:rsidR="00941965" w:rsidRPr="00357612" w:rsidRDefault="00941965" w:rsidP="0007098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576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Introduction:</w:t>
      </w:r>
    </w:p>
    <w:p w14:paraId="010A5DEE" w14:textId="397FCD6D" w:rsidR="00357612" w:rsidRDefault="00951E18" w:rsidP="0007098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DE5">
        <w:rPr>
          <w:rFonts w:ascii="Times New Roman" w:hAnsi="Times New Roman" w:cs="Times New Roman"/>
          <w:sz w:val="24"/>
          <w:szCs w:val="24"/>
          <w:lang w:val="en-US"/>
        </w:rPr>
        <w:t>Hydrogen is w</w:t>
      </w:r>
      <w:r w:rsidR="00DB0EAF">
        <w:rPr>
          <w:rFonts w:ascii="Times New Roman" w:hAnsi="Times New Roman" w:cs="Times New Roman"/>
          <w:sz w:val="24"/>
          <w:szCs w:val="24"/>
          <w:lang w:val="en-US"/>
        </w:rPr>
        <w:t xml:space="preserve">idely used in the industry </w:t>
      </w:r>
      <w:r w:rsidR="00C11643">
        <w:rPr>
          <w:rFonts w:ascii="Times New Roman" w:hAnsi="Times New Roman" w:cs="Times New Roman"/>
          <w:sz w:val="24"/>
          <w:szCs w:val="24"/>
          <w:lang w:val="en-US"/>
        </w:rPr>
        <w:t>in a variety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of applications. An important use of hydrogen is a</w:t>
      </w:r>
      <w:r w:rsidR="00C548DA" w:rsidRPr="00A30D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hydrogenation agent for increasing the saturation level of 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lastRenderedPageBreak/>
        <w:t>unsaturated fats and oils producing margarine-type products. Hydrogen is also used as a reducing agent for m</w:t>
      </w:r>
      <w:r w:rsidR="00A52FCF">
        <w:rPr>
          <w:rFonts w:ascii="Times New Roman" w:hAnsi="Times New Roman" w:cs="Times New Roman"/>
          <w:sz w:val="24"/>
          <w:szCs w:val="24"/>
          <w:lang w:val="en-US"/>
        </w:rPr>
        <w:t>etallic minerals</w:t>
      </w:r>
      <w:r w:rsidR="00C548DA" w:rsidRPr="00A30DE5">
        <w:rPr>
          <w:rFonts w:ascii="Times New Roman" w:hAnsi="Times New Roman" w:cs="Times New Roman"/>
          <w:sz w:val="24"/>
          <w:szCs w:val="24"/>
          <w:lang w:val="en-US"/>
        </w:rPr>
        <w:t>. Also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is used in the fields of physics and engineering. It is well known for its use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 in atomic hydrogen soldering [5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]. It is still used as a refrigerant in generators and generating stations because of its higher thermal conductivity t</w:t>
      </w:r>
      <w:r w:rsidR="00B76EB9" w:rsidRPr="00A30DE5">
        <w:rPr>
          <w:rFonts w:ascii="Times New Roman" w:hAnsi="Times New Roman" w:cs="Times New Roman"/>
          <w:sz w:val="24"/>
          <w:szCs w:val="24"/>
          <w:lang w:val="en-US"/>
        </w:rPr>
        <w:t>han other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gases. For this reason, it is also widely used in cryogenic research, </w:t>
      </w:r>
      <w:r w:rsidR="00B76EB9" w:rsidRPr="00A30DE5">
        <w:rPr>
          <w:rFonts w:ascii="Times New Roman" w:hAnsi="Times New Roman" w:cs="Times New Roman"/>
          <w:sz w:val="24"/>
          <w:szCs w:val="24"/>
          <w:lang w:val="en-US"/>
        </w:rPr>
        <w:t>with superconductivity studies.</w:t>
      </w:r>
      <w:r w:rsidR="008049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The largest amounts of hydrogen are consumed by the petrochemicals and chemical industries in the processing of fossil fuels and in the production of ammonia, a process called upgrading. </w:t>
      </w:r>
      <w:r w:rsidR="00B76EB9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The vast majority of hydrogen </w:t>
      </w:r>
      <w:r w:rsidR="00CF2A01" w:rsidRPr="00A30DE5">
        <w:rPr>
          <w:rFonts w:ascii="Times New Roman" w:hAnsi="Times New Roman" w:cs="Times New Roman"/>
          <w:sz w:val="24"/>
          <w:szCs w:val="24"/>
          <w:lang w:val="en-US"/>
        </w:rPr>
        <w:t>stoc</w:t>
      </w:r>
      <w:r w:rsidR="00B76EB9" w:rsidRPr="00A30DE5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="00CF2A01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B76EB9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2A01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consumed by 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the petroche</w:t>
      </w:r>
      <w:r w:rsidR="00CF2A01" w:rsidRPr="00A30DE5">
        <w:rPr>
          <w:rFonts w:ascii="Times New Roman" w:hAnsi="Times New Roman" w:cs="Times New Roman"/>
          <w:sz w:val="24"/>
          <w:szCs w:val="24"/>
          <w:lang w:val="en-US"/>
        </w:rPr>
        <w:t>mical industry, in chemical processes like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hydroalkylation</w:t>
      </w:r>
      <w:proofErr w:type="spellEnd"/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0DE5">
        <w:rPr>
          <w:rFonts w:ascii="Times New Roman" w:hAnsi="Times New Roman" w:cs="Times New Roman"/>
          <w:sz w:val="24"/>
          <w:szCs w:val="24"/>
          <w:lang w:val="en-US"/>
        </w:rPr>
        <w:t>hydrodesulfurization</w:t>
      </w:r>
      <w:proofErr w:type="spellEnd"/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and hydrocracking. It also has the ability to convert saturated bonds into amorphous silicon and carbon and this helps to</w:t>
      </w:r>
      <w:r w:rsidR="008049F0">
        <w:rPr>
          <w:rFonts w:ascii="Times New Roman" w:hAnsi="Times New Roman" w:cs="Times New Roman"/>
          <w:sz w:val="24"/>
          <w:szCs w:val="24"/>
          <w:lang w:val="en-US"/>
        </w:rPr>
        <w:t xml:space="preserve"> stabilize various materials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. The most important and perhaps the most fundamental of our planet's future is</w:t>
      </w:r>
      <w:r w:rsidR="00C116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E01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CF2A01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perspective as a fuel, 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in order to solve both the energy problem and t</w:t>
      </w:r>
      <w:r w:rsidR="00251D25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he environmental problem. </w:t>
      </w:r>
    </w:p>
    <w:p w14:paraId="5A7E62FB" w14:textId="3A4BFA6A" w:rsidR="00941965" w:rsidRDefault="00951E18" w:rsidP="0007098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DE5">
        <w:rPr>
          <w:rFonts w:ascii="Times New Roman" w:hAnsi="Times New Roman" w:cs="Times New Roman"/>
          <w:sz w:val="24"/>
          <w:szCs w:val="24"/>
          <w:lang w:val="en-US"/>
        </w:rPr>
        <w:t>Consumerism, overpopulation and competition between states have as a direct and expected effect the gradual depletion of the earth's natural resources. Minerals due to their exploitation rate will be exhausted in the near future and it is a vital issue for people to discover sustainable and environmentally friendly</w:t>
      </w:r>
      <w:r w:rsidR="00251D25"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sources of energy at this point,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 in which hydrogen is emerging as an important candidate for a new energy source. The upcoming disaster can be avoided. Alternatives have been put into the microscope by researchers which unfortunately still costs a lot and is not as intense as </w:t>
      </w:r>
      <w:r w:rsidR="00251D25" w:rsidRPr="00A30DE5">
        <w:rPr>
          <w:rFonts w:ascii="Times New Roman" w:hAnsi="Times New Roman" w:cs="Times New Roman"/>
          <w:sz w:val="24"/>
          <w:szCs w:val="24"/>
          <w:lang w:val="en-US"/>
        </w:rPr>
        <w:t>it should be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 xml:space="preserve">. As there are disagreements about transitive technologies, all scientific opinions coincide with the final solution. The "hydrogen economy" is the one that will most likely succeed 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>in the "fossil fuel" economy [6</w:t>
      </w:r>
      <w:r w:rsidRPr="00A30DE5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7868DA4C" w14:textId="0D826B5C" w:rsidR="00B56FCC" w:rsidRDefault="00357612" w:rsidP="000709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61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homogeneous </w:t>
      </w:r>
      <w:proofErr w:type="spellStart"/>
      <w:r w:rsidRPr="00357612">
        <w:rPr>
          <w:rFonts w:ascii="Times New Roman" w:hAnsi="Times New Roman" w:cs="Times New Roman"/>
          <w:sz w:val="24"/>
          <w:szCs w:val="24"/>
          <w:lang w:val="en-US"/>
        </w:rPr>
        <w:t>photocatalysis</w:t>
      </w:r>
      <w:proofErr w:type="spellEnd"/>
      <w:r w:rsidRPr="00357612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proofErr w:type="spellStart"/>
      <w:r w:rsidRPr="00357612">
        <w:rPr>
          <w:rFonts w:ascii="Times New Roman" w:hAnsi="Times New Roman" w:cs="Times New Roman"/>
          <w:sz w:val="24"/>
          <w:szCs w:val="24"/>
          <w:lang w:val="en-US"/>
        </w:rPr>
        <w:t>photocatalyst</w:t>
      </w:r>
      <w:proofErr w:type="spellEnd"/>
      <w:r w:rsidRPr="00357612">
        <w:rPr>
          <w:rFonts w:ascii="Times New Roman" w:hAnsi="Times New Roman" w:cs="Times New Roman"/>
          <w:sz w:val="24"/>
          <w:szCs w:val="24"/>
          <w:lang w:val="en-US"/>
        </w:rPr>
        <w:t xml:space="preserve"> and the catalyzed system are in the same phase. Electron and energy transfer are processes involved in homogeneous </w:t>
      </w:r>
      <w:proofErr w:type="spellStart"/>
      <w:r w:rsidRPr="00357612">
        <w:rPr>
          <w:rFonts w:ascii="Times New Roman" w:hAnsi="Times New Roman" w:cs="Times New Roman"/>
          <w:sz w:val="24"/>
          <w:szCs w:val="24"/>
          <w:lang w:val="en-US"/>
        </w:rPr>
        <w:t>photocatalysis</w:t>
      </w:r>
      <w:proofErr w:type="spellEnd"/>
      <w:r w:rsidRPr="00357612">
        <w:rPr>
          <w:rFonts w:ascii="Times New Roman" w:hAnsi="Times New Roman" w:cs="Times New Roman"/>
          <w:sz w:val="24"/>
          <w:szCs w:val="24"/>
          <w:lang w:val="en-US"/>
        </w:rPr>
        <w:t xml:space="preserve"> as well as the determination of the effectiveness of the individual reaction steps. In this complex system, a reaction involving a photosensitizer (</w:t>
      </w:r>
      <w:proofErr w:type="spellStart"/>
      <w:r w:rsidRPr="00357612">
        <w:rPr>
          <w:rFonts w:ascii="Times New Roman" w:hAnsi="Times New Roman" w:cs="Times New Roman"/>
          <w:sz w:val="24"/>
          <w:szCs w:val="24"/>
          <w:lang w:val="en-US"/>
        </w:rPr>
        <w:t>photoconduced</w:t>
      </w:r>
      <w:proofErr w:type="spellEnd"/>
      <w:r w:rsidRPr="00357612">
        <w:rPr>
          <w:rFonts w:ascii="Times New Roman" w:hAnsi="Times New Roman" w:cs="Times New Roman"/>
          <w:sz w:val="24"/>
          <w:szCs w:val="24"/>
          <w:lang w:val="en-US"/>
        </w:rPr>
        <w:t xml:space="preserve"> in the primary photochemical process), a mediator (to separate the electron-hole pairs generated and to avoid their recombination) is investigated, a catalyst </w:t>
      </w:r>
      <w:r w:rsidR="00FB0CF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57612">
        <w:rPr>
          <w:rFonts w:ascii="Times New Roman" w:hAnsi="Times New Roman" w:cs="Times New Roman"/>
          <w:sz w:val="24"/>
          <w:szCs w:val="24"/>
          <w:lang w:val="en-US"/>
        </w:rPr>
        <w:t>active reduction of protons) and a sacrificial electron donor (to maintain the reversibil</w:t>
      </w:r>
      <w:r w:rsidR="00FB0CF8">
        <w:rPr>
          <w:rFonts w:ascii="Times New Roman" w:hAnsi="Times New Roman" w:cs="Times New Roman"/>
          <w:sz w:val="24"/>
          <w:szCs w:val="24"/>
          <w:lang w:val="en-US"/>
        </w:rPr>
        <w:t xml:space="preserve">ity of the overall </w:t>
      </w:r>
      <w:proofErr w:type="gramStart"/>
      <w:r w:rsidR="00FB0CF8">
        <w:rPr>
          <w:rFonts w:ascii="Times New Roman" w:hAnsi="Times New Roman" w:cs="Times New Roman"/>
          <w:sz w:val="24"/>
          <w:szCs w:val="24"/>
          <w:lang w:val="en-US"/>
        </w:rPr>
        <w:t>process)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17494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35761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B0CF8">
        <w:rPr>
          <w:rFonts w:ascii="Times New Roman" w:hAnsi="Times New Roman" w:cs="Times New Roman"/>
          <w:sz w:val="24"/>
          <w:szCs w:val="24"/>
          <w:lang w:val="en-US"/>
        </w:rPr>
        <w:t xml:space="preserve">. Nowadays, the main concern is to find alternatives to the Pt catalyst for the </w:t>
      </w:r>
      <w:proofErr w:type="spellStart"/>
      <w:r w:rsidR="00FB0CF8">
        <w:rPr>
          <w:rFonts w:ascii="Times New Roman" w:hAnsi="Times New Roman" w:cs="Times New Roman"/>
          <w:sz w:val="24"/>
          <w:szCs w:val="24"/>
          <w:lang w:val="en-US"/>
        </w:rPr>
        <w:t>photoreduction</w:t>
      </w:r>
      <w:proofErr w:type="spellEnd"/>
      <w:r w:rsidR="00FB0CF8">
        <w:rPr>
          <w:rFonts w:ascii="Times New Roman" w:hAnsi="Times New Roman" w:cs="Times New Roman"/>
          <w:sz w:val="24"/>
          <w:szCs w:val="24"/>
          <w:lang w:val="en-US"/>
        </w:rPr>
        <w:t xml:space="preserve"> of water since it is not only expensive but also environmentally hazardous</w:t>
      </w:r>
      <w:r w:rsidR="0017494A">
        <w:rPr>
          <w:rFonts w:ascii="Times New Roman" w:hAnsi="Times New Roman" w:cs="Times New Roman"/>
          <w:sz w:val="24"/>
          <w:szCs w:val="24"/>
          <w:lang w:val="en-US"/>
        </w:rPr>
        <w:t xml:space="preserve"> [1,4,8</w:t>
      </w:r>
      <w:r w:rsidR="00AE594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B0CF8">
        <w:rPr>
          <w:rFonts w:ascii="Times New Roman" w:hAnsi="Times New Roman" w:cs="Times New Roman"/>
          <w:sz w:val="24"/>
          <w:szCs w:val="24"/>
          <w:lang w:val="en-US"/>
        </w:rPr>
        <w:t xml:space="preserve">. So catalysts that possess abundant, cheap and environmentally friend </w:t>
      </w:r>
      <w:proofErr w:type="spellStart"/>
      <w:r w:rsidR="00FB0CF8">
        <w:rPr>
          <w:rFonts w:ascii="Times New Roman" w:hAnsi="Times New Roman" w:cs="Times New Roman"/>
          <w:sz w:val="24"/>
          <w:szCs w:val="24"/>
          <w:lang w:val="en-US"/>
        </w:rPr>
        <w:t>metalions</w:t>
      </w:r>
      <w:proofErr w:type="spellEnd"/>
      <w:r w:rsidR="00FB0CF8">
        <w:rPr>
          <w:rFonts w:ascii="Times New Roman" w:hAnsi="Times New Roman" w:cs="Times New Roman"/>
          <w:sz w:val="24"/>
          <w:szCs w:val="24"/>
          <w:lang w:val="en-US"/>
        </w:rPr>
        <w:t xml:space="preserve"> is a demand. </w:t>
      </w:r>
      <w:r w:rsidR="00B93EE5">
        <w:rPr>
          <w:rFonts w:ascii="Times New Roman" w:hAnsi="Times New Roman" w:cs="Times New Roman"/>
          <w:sz w:val="24"/>
          <w:szCs w:val="24"/>
          <w:lang w:val="en-US"/>
        </w:rPr>
        <w:t>In this context, herein we present the synthesis of a novel mixed diamine-thiolate Ni(II) complex, namely</w:t>
      </w:r>
      <w:r w:rsidR="0024442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444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</w:t>
      </w:r>
      <w:r w:rsidR="00B56F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(2-</w:t>
      </w:r>
      <w:proofErr w:type="gramStart"/>
      <w:r w:rsidR="00B56F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aminothiophenol)(</w:t>
      </w:r>
      <w:proofErr w:type="gramEnd"/>
      <w:r w:rsidR="00B56F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o-</w:t>
      </w:r>
      <w:proofErr w:type="spellStart"/>
      <w:r w:rsidR="00B56F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phenylene</w:t>
      </w:r>
      <w:proofErr w:type="spellEnd"/>
      <w:r w:rsidR="00B56F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diamine)</w:t>
      </w:r>
      <w:r w:rsidR="00B93EE5">
        <w:rPr>
          <w:rFonts w:ascii="Times New Roman" w:hAnsi="Times New Roman" w:cs="Times New Roman"/>
          <w:sz w:val="24"/>
          <w:szCs w:val="24"/>
          <w:lang w:val="en-US"/>
        </w:rPr>
        <w:t xml:space="preserve">and its catalytic action for the </w:t>
      </w:r>
      <w:proofErr w:type="spellStart"/>
      <w:r w:rsidR="00B93EE5">
        <w:rPr>
          <w:rFonts w:ascii="Times New Roman" w:hAnsi="Times New Roman" w:cs="Times New Roman"/>
          <w:sz w:val="24"/>
          <w:szCs w:val="24"/>
          <w:lang w:val="en-US"/>
        </w:rPr>
        <w:t>photoproduction</w:t>
      </w:r>
      <w:proofErr w:type="spellEnd"/>
      <w:r w:rsidR="00B93EE5">
        <w:rPr>
          <w:rFonts w:ascii="Times New Roman" w:hAnsi="Times New Roman" w:cs="Times New Roman"/>
          <w:sz w:val="24"/>
          <w:szCs w:val="24"/>
          <w:lang w:val="en-US"/>
        </w:rPr>
        <w:t xml:space="preserve"> of hydrogen. </w:t>
      </w:r>
    </w:p>
    <w:p w14:paraId="5F5D5AEC" w14:textId="77777777" w:rsidR="00D07A6C" w:rsidRDefault="00D07A6C" w:rsidP="000709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E7693C" w14:textId="3235D4F4" w:rsidR="00357612" w:rsidRDefault="00357612" w:rsidP="0007098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576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Experimental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7AFF30FB" w14:textId="5DF88A1E" w:rsidR="00B527B4" w:rsidRPr="00B43B71" w:rsidRDefault="00357612" w:rsidP="00070989">
      <w:pPr>
        <w:pStyle w:val="a3"/>
        <w:numPr>
          <w:ilvl w:val="1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Synthesis of the complex</w:t>
      </w:r>
    </w:p>
    <w:p w14:paraId="13E82203" w14:textId="30069014" w:rsidR="00B43B71" w:rsidRPr="008E22CB" w:rsidRDefault="00B93EE5" w:rsidP="00070989">
      <w:pPr>
        <w:pStyle w:val="1"/>
        <w:shd w:val="clear" w:color="auto" w:fill="FDFDFD"/>
        <w:spacing w:before="0" w:beforeAutospacing="0" w:after="0" w:afterAutospacing="0" w:line="480" w:lineRule="auto"/>
        <w:jc w:val="both"/>
        <w:rPr>
          <w:rFonts w:eastAsia="Times New Roman"/>
          <w:color w:val="403C36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The synthesis of the</w:t>
      </w:r>
      <w:r w:rsidRPr="00B93EE5">
        <w:rPr>
          <w:sz w:val="24"/>
          <w:szCs w:val="24"/>
          <w:lang w:val="en-US"/>
        </w:rPr>
        <w:t xml:space="preserve"> </w:t>
      </w:r>
      <w:r w:rsidRPr="00B93EE5">
        <w:rPr>
          <w:b w:val="0"/>
          <w:sz w:val="24"/>
          <w:szCs w:val="24"/>
          <w:lang w:val="en-US"/>
        </w:rPr>
        <w:t>[NiC</w:t>
      </w:r>
      <w:r w:rsidRPr="00B93EE5">
        <w:rPr>
          <w:b w:val="0"/>
          <w:sz w:val="24"/>
          <w:szCs w:val="24"/>
          <w:vertAlign w:val="subscript"/>
          <w:lang w:val="en-US"/>
        </w:rPr>
        <w:t>6</w:t>
      </w:r>
      <w:r w:rsidRPr="00B93EE5">
        <w:rPr>
          <w:b w:val="0"/>
          <w:sz w:val="24"/>
          <w:szCs w:val="24"/>
          <w:lang w:val="en-US"/>
        </w:rPr>
        <w:t>H</w:t>
      </w:r>
      <w:r w:rsidRPr="00B93EE5">
        <w:rPr>
          <w:b w:val="0"/>
          <w:sz w:val="24"/>
          <w:szCs w:val="24"/>
          <w:vertAlign w:val="subscript"/>
          <w:lang w:val="en-US"/>
        </w:rPr>
        <w:t>6</w:t>
      </w:r>
      <w:r w:rsidRPr="00B93EE5">
        <w:rPr>
          <w:b w:val="0"/>
          <w:sz w:val="24"/>
          <w:szCs w:val="24"/>
          <w:lang w:val="en-US"/>
        </w:rPr>
        <w:t>Cl</w:t>
      </w:r>
      <w:r w:rsidRPr="00B93EE5">
        <w:rPr>
          <w:b w:val="0"/>
          <w:sz w:val="24"/>
          <w:szCs w:val="24"/>
          <w:vertAlign w:val="subscript"/>
          <w:lang w:val="en-US"/>
        </w:rPr>
        <w:t>2</w:t>
      </w:r>
      <w:r w:rsidRPr="00B93EE5">
        <w:rPr>
          <w:b w:val="0"/>
          <w:sz w:val="24"/>
          <w:szCs w:val="24"/>
          <w:lang w:val="en-US"/>
        </w:rPr>
        <w:t>N</w:t>
      </w:r>
      <w:r w:rsidRPr="00B93EE5">
        <w:rPr>
          <w:b w:val="0"/>
          <w:sz w:val="24"/>
          <w:szCs w:val="24"/>
          <w:vertAlign w:val="subscript"/>
          <w:lang w:val="en-US"/>
        </w:rPr>
        <w:t>2</w:t>
      </w:r>
      <w:r w:rsidRPr="00B93EE5">
        <w:rPr>
          <w:b w:val="0"/>
          <w:sz w:val="24"/>
          <w:szCs w:val="24"/>
          <w:lang w:val="en-US"/>
        </w:rPr>
        <w:t>]</w:t>
      </w:r>
      <w:r>
        <w:rPr>
          <w:b w:val="0"/>
          <w:sz w:val="24"/>
          <w:szCs w:val="24"/>
          <w:lang w:val="en-US"/>
        </w:rPr>
        <w:t xml:space="preserve"> was performed according to Fig. 1. Thus,</w:t>
      </w:r>
      <w:r w:rsidR="00B43B71" w:rsidRPr="00B43B71">
        <w:rPr>
          <w:b w:val="0"/>
          <w:sz w:val="24"/>
          <w:szCs w:val="24"/>
          <w:lang w:val="en-US"/>
        </w:rPr>
        <w:t xml:space="preserve"> </w:t>
      </w:r>
      <w:r w:rsidR="00296C4D" w:rsidRPr="00B43B71">
        <w:rPr>
          <w:b w:val="0"/>
          <w:sz w:val="24"/>
          <w:szCs w:val="24"/>
          <w:lang w:val="en-US"/>
        </w:rPr>
        <w:t xml:space="preserve">0,095g </w:t>
      </w:r>
      <w:r w:rsidR="00B43B71" w:rsidRPr="00B43B71">
        <w:rPr>
          <w:b w:val="0"/>
          <w:sz w:val="24"/>
          <w:szCs w:val="24"/>
          <w:lang w:val="en-US"/>
        </w:rPr>
        <w:t>of</w:t>
      </w:r>
      <w:r w:rsidR="00B43B71" w:rsidRPr="00B43B71">
        <w:rPr>
          <w:sz w:val="24"/>
          <w:szCs w:val="24"/>
          <w:lang w:val="en-US"/>
        </w:rPr>
        <w:t xml:space="preserve"> </w:t>
      </w:r>
      <w:r>
        <w:rPr>
          <w:rFonts w:eastAsia="Times New Roman"/>
          <w:b w:val="0"/>
          <w:color w:val="000000" w:themeColor="text1"/>
          <w:sz w:val="24"/>
          <w:szCs w:val="24"/>
          <w:lang w:val="en-US"/>
        </w:rPr>
        <w:t>n</w:t>
      </w:r>
      <w:r w:rsidR="00B43B71" w:rsidRPr="00B43B71">
        <w:rPr>
          <w:rFonts w:eastAsia="Times New Roman"/>
          <w:b w:val="0"/>
          <w:color w:val="000000" w:themeColor="text1"/>
          <w:sz w:val="24"/>
          <w:szCs w:val="24"/>
          <w:lang w:val="en-US"/>
        </w:rPr>
        <w:t>ickel(II) chloride hexahydrate</w:t>
      </w:r>
      <w:r w:rsidR="00B43B71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(n=0,004</w:t>
      </w:r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>mol) dissolve</w:t>
      </w:r>
      <w:r>
        <w:rPr>
          <w:rFonts w:eastAsia="Times New Roman"/>
          <w:b w:val="0"/>
          <w:color w:val="000000" w:themeColor="text1"/>
          <w:sz w:val="24"/>
          <w:szCs w:val="24"/>
          <w:lang w:val="en-US"/>
        </w:rPr>
        <w:t>d</w:t>
      </w:r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in 3 mL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H</w:t>
      </w:r>
      <w:r w:rsidR="008E22CB" w:rsidRPr="008E22CB">
        <w:rPr>
          <w:rFonts w:eastAsia="Times New Roman"/>
          <w:b w:val="0"/>
          <w:color w:val="000000" w:themeColor="text1"/>
          <w:sz w:val="24"/>
          <w:szCs w:val="24"/>
          <w:vertAlign w:val="subscript"/>
          <w:lang w:val="en-US"/>
        </w:rPr>
        <w:t>2</w:t>
      </w:r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O </w:t>
      </w:r>
      <w:r>
        <w:rPr>
          <w:rFonts w:eastAsia="Times New Roman"/>
          <w:b w:val="0"/>
          <w:color w:val="000000" w:themeColor="text1"/>
          <w:sz w:val="24"/>
          <w:szCs w:val="24"/>
          <w:lang w:val="en-US"/>
        </w:rPr>
        <w:t>were added to an aqua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solution of 0,43g o-</w:t>
      </w:r>
      <w:proofErr w:type="spellStart"/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>phenylene</w:t>
      </w:r>
      <w:proofErr w:type="spellEnd"/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diamin</w:t>
      </w:r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e (n=0,004 </w:t>
      </w:r>
      <w:proofErr w:type="spellStart"/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>mol</w:t>
      </w:r>
      <w:proofErr w:type="spellEnd"/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) 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>and l</w:t>
      </w:r>
      <w:r w:rsidR="0096644A">
        <w:rPr>
          <w:rFonts w:eastAsia="Times New Roman"/>
          <w:b w:val="0"/>
          <w:color w:val="000000" w:themeColor="text1"/>
          <w:sz w:val="24"/>
          <w:szCs w:val="24"/>
          <w:lang w:val="en-US"/>
        </w:rPr>
        <w:t>eft for stirring. After 24h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a dark green powder</w:t>
      </w:r>
      <w:r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was obtain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 by filtration, washed with ethanol (</w:t>
      </w:r>
      <w:r w:rsidR="003878CB">
        <w:rPr>
          <w:rFonts w:eastAsia="Times New Roman"/>
          <w:b w:val="0"/>
          <w:color w:val="000000" w:themeColor="text1"/>
          <w:sz w:val="24"/>
          <w:szCs w:val="24"/>
          <w:lang w:val="en-US"/>
        </w:rPr>
        <w:t>3x20mL</w:t>
      </w:r>
      <w:r w:rsidR="0027431C">
        <w:rPr>
          <w:rFonts w:eastAsia="Times New Roman"/>
          <w:b w:val="0"/>
          <w:color w:val="000000" w:themeColor="text1"/>
          <w:sz w:val="24"/>
          <w:szCs w:val="24"/>
          <w:lang w:val="en-US"/>
        </w:rPr>
        <w:t xml:space="preserve">) </w:t>
      </w:r>
      <w:r w:rsidR="008E22CB">
        <w:rPr>
          <w:rFonts w:eastAsia="Times New Roman"/>
          <w:b w:val="0"/>
          <w:color w:val="000000" w:themeColor="text1"/>
          <w:sz w:val="24"/>
          <w:szCs w:val="24"/>
          <w:lang w:val="en-US"/>
        </w:rPr>
        <w:t>and dried in vacuum.</w:t>
      </w:r>
    </w:p>
    <w:p w14:paraId="1B8C128C" w14:textId="4379718C" w:rsidR="00A30DE5" w:rsidRDefault="00042380" w:rsidP="000709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3D2F">
        <w:rPr>
          <w:rFonts w:ascii="Times New Roman" w:hAnsi="Times New Roman" w:cs="Times New Roman"/>
          <w:sz w:val="24"/>
          <w:szCs w:val="24"/>
          <w:lang w:val="en-US"/>
        </w:rPr>
        <w:t xml:space="preserve">the last step,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0,18g </w:t>
      </w:r>
      <w:r w:rsidR="00B93EE5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NiC</w:t>
      </w:r>
      <w:r w:rsidRPr="000423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23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0423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23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93EE5" w:rsidRPr="006B0E2D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>(n=0,7mmol),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 100</w:t>
      </w:r>
      <w:r w:rsidR="00D60E53">
        <w:rPr>
          <w:rFonts w:ascii="Times New Roman" w:hAnsi="Times New Roman" w:cs="Times New Roman"/>
          <w:sz w:val="24"/>
          <w:szCs w:val="24"/>
        </w:rPr>
        <w:t>μ</w:t>
      </w:r>
      <w:r w:rsidR="0096644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 2-aminothiophenol (n=0,7mmol)</w:t>
      </w:r>
      <w:r w:rsidR="00924931">
        <w:rPr>
          <w:rFonts w:ascii="Times New Roman" w:hAnsi="Times New Roman" w:cs="Times New Roman"/>
          <w:sz w:val="24"/>
          <w:szCs w:val="24"/>
          <w:lang w:val="en-US"/>
        </w:rPr>
        <w:t xml:space="preserve"> and 0,20g KOH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 xml:space="preserve"> in methanol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 refluxed under a nitrogen </w:t>
      </w:r>
      <w:r w:rsidR="003878CB">
        <w:rPr>
          <w:rFonts w:ascii="Times New Roman" w:hAnsi="Times New Roman" w:cs="Times New Roman"/>
          <w:sz w:val="24"/>
          <w:szCs w:val="24"/>
          <w:lang w:val="en-US"/>
        </w:rPr>
        <w:t xml:space="preserve">atmosphere </w:t>
      </w:r>
      <w:r w:rsidR="003878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for 6h. 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green powder 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 xml:space="preserve">was obtained 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>by filtration, washed with ethanol (</w:t>
      </w:r>
      <w:r w:rsidR="003878CB">
        <w:rPr>
          <w:rFonts w:ascii="Times New Roman" w:hAnsi="Times New Roman" w:cs="Times New Roman"/>
          <w:sz w:val="24"/>
          <w:szCs w:val="24"/>
          <w:lang w:val="en-US"/>
        </w:rPr>
        <w:t>3x20mL</w:t>
      </w:r>
      <w:r w:rsidR="002743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0E53">
        <w:rPr>
          <w:rFonts w:ascii="Times New Roman" w:hAnsi="Times New Roman" w:cs="Times New Roman"/>
          <w:sz w:val="24"/>
          <w:szCs w:val="24"/>
          <w:lang w:val="en-US"/>
        </w:rPr>
        <w:t xml:space="preserve">and dried in </w:t>
      </w:r>
      <w:proofErr w:type="gramStart"/>
      <w:r w:rsidR="00D60E53">
        <w:rPr>
          <w:rFonts w:ascii="Times New Roman" w:hAnsi="Times New Roman" w:cs="Times New Roman"/>
          <w:sz w:val="24"/>
          <w:szCs w:val="24"/>
          <w:lang w:val="en-US"/>
        </w:rPr>
        <w:t>vacuum.</w:t>
      </w:r>
      <w:r w:rsidR="00603F5E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17494A">
        <w:rPr>
          <w:rFonts w:ascii="Times New Roman" w:hAnsi="Times New Roman" w:cs="Times New Roman"/>
          <w:sz w:val="24"/>
          <w:szCs w:val="24"/>
          <w:lang w:val="en-US"/>
        </w:rPr>
        <w:t>9-12</w:t>
      </w:r>
      <w:r w:rsidR="00603F5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6E1E3D76" w14:textId="57E2072D" w:rsidR="00924931" w:rsidRDefault="00924931" w:rsidP="000709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4931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53A316D" wp14:editId="066614C7">
            <wp:extent cx="5270022" cy="2193479"/>
            <wp:effectExtent l="50800" t="0" r="38735" b="92710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0950" cy="2198027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2798E38D" w14:textId="52D2ED62" w:rsidR="00B56FCC" w:rsidRPr="009C2AA1" w:rsidRDefault="0017021F" w:rsidP="009C2AA1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4BAD">
        <w:rPr>
          <w:rFonts w:ascii="Times New Roman" w:hAnsi="Times New Roman" w:cs="Times New Roman"/>
          <w:i/>
          <w:sz w:val="24"/>
          <w:szCs w:val="24"/>
          <w:lang w:val="en-US"/>
        </w:rPr>
        <w:t>Figure</w:t>
      </w:r>
      <w:r w:rsidR="00924931" w:rsidRPr="00C24B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924931" w:rsidRPr="00C24BAD">
        <w:rPr>
          <w:rFonts w:ascii="Times New Roman" w:hAnsi="Times New Roman" w:cs="Times New Roman"/>
          <w:i/>
          <w:sz w:val="24"/>
          <w:szCs w:val="24"/>
          <w:lang w:val="en-US"/>
        </w:rPr>
        <w:t>1.Synthetic</w:t>
      </w:r>
      <w:proofErr w:type="gramEnd"/>
      <w:r w:rsidR="00924931" w:rsidRPr="00C24B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 of the complex</w:t>
      </w:r>
    </w:p>
    <w:p w14:paraId="5EDD9275" w14:textId="64274AB7" w:rsidR="00D60E53" w:rsidRDefault="00D60E53" w:rsidP="00070989">
      <w:pPr>
        <w:pStyle w:val="a3"/>
        <w:numPr>
          <w:ilvl w:val="1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0E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Characterization of the complex</w:t>
      </w:r>
    </w:p>
    <w:p w14:paraId="12C54C1D" w14:textId="568CAE3A" w:rsidR="0066585C" w:rsidRPr="00070989" w:rsidRDefault="0066585C" w:rsidP="0066585C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2.2.1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Uv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-Vis spectra</w:t>
      </w:r>
    </w:p>
    <w:p w14:paraId="452667CF" w14:textId="41CCF8C8" w:rsidR="00B27B53" w:rsidRPr="00B27B53" w:rsidRDefault="00174525" w:rsidP="00070989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52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electronic spectra of </w:t>
      </w:r>
      <w:r w:rsidR="0017021F">
        <w:rPr>
          <w:rFonts w:ascii="Times New Roman" w:hAnsi="Times New Roman" w:cs="Times New Roman"/>
          <w:sz w:val="24"/>
          <w:szCs w:val="24"/>
          <w:lang w:val="en-US"/>
        </w:rPr>
        <w:t>the complex</w:t>
      </w:r>
      <w:r w:rsidR="00C24BAD">
        <w:rPr>
          <w:rFonts w:ascii="Times New Roman" w:hAnsi="Times New Roman" w:cs="Times New Roman"/>
          <w:sz w:val="24"/>
          <w:szCs w:val="24"/>
          <w:lang w:val="en-US"/>
        </w:rPr>
        <w:t xml:space="preserve"> in DMF</w:t>
      </w:r>
      <w:r w:rsidR="0017021F">
        <w:rPr>
          <w:rFonts w:ascii="Times New Roman" w:hAnsi="Times New Roman" w:cs="Times New Roman"/>
          <w:sz w:val="24"/>
          <w:szCs w:val="24"/>
          <w:lang w:val="en-US"/>
        </w:rPr>
        <w:t xml:space="preserve"> is shown in Figure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absorption maxima and </w:t>
      </w:r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molar </w:t>
      </w:r>
      <w:proofErr w:type="spellStart"/>
      <w:r w:rsidR="00BD41B9">
        <w:rPr>
          <w:rFonts w:ascii="Times New Roman" w:hAnsi="Times New Roman" w:cs="Times New Roman"/>
          <w:sz w:val="24"/>
          <w:szCs w:val="24"/>
          <w:lang w:val="en-US"/>
        </w:rPr>
        <w:t>absorptivities</w:t>
      </w:r>
      <w:proofErr w:type="spellEnd"/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in Table </w:t>
      </w:r>
      <w:proofErr w:type="gramStart"/>
      <w:r w:rsidR="00B27B53">
        <w:rPr>
          <w:rFonts w:ascii="Times New Roman" w:hAnsi="Times New Roman" w:cs="Times New Roman"/>
          <w:sz w:val="24"/>
          <w:szCs w:val="24"/>
          <w:lang w:val="en-US"/>
        </w:rPr>
        <w:t>1.The</w:t>
      </w:r>
      <w:proofErr w:type="gramEnd"/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 complex exhibit two</w:t>
      </w:r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 absorption band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the vis</w:t>
      </w:r>
      <w:r w:rsidR="00C24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 of the spectrum. 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B27B53">
        <w:rPr>
          <w:rFonts w:ascii="Times New Roman" w:hAnsi="Times New Roman" w:cs="Times New Roman"/>
          <w:sz w:val="24"/>
          <w:szCs w:val="24"/>
          <w:lang w:val="en-US"/>
        </w:rPr>
        <w:t>firtst</w:t>
      </w:r>
      <w:proofErr w:type="spellEnd"/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 one is at 813nm and is attributed to </w:t>
      </w:r>
      <w:r w:rsidR="00BD41B9">
        <w:rPr>
          <w:rFonts w:ascii="Times New Roman" w:hAnsi="Times New Roman" w:cs="Times New Roman"/>
          <w:sz w:val="24"/>
          <w:szCs w:val="24"/>
          <w:lang w:val="en-US"/>
        </w:rPr>
        <w:t>ligand charge transfer (</w:t>
      </w:r>
      <w:proofErr w:type="spellStart"/>
      <w:r w:rsidR="00BD41B9">
        <w:rPr>
          <w:rFonts w:ascii="Times New Roman" w:hAnsi="Times New Roman" w:cs="Times New Roman"/>
          <w:sz w:val="24"/>
          <w:szCs w:val="24"/>
          <w:lang w:val="en-US"/>
        </w:rPr>
        <w:t>LLCT</w:t>
      </w:r>
      <w:proofErr w:type="spellEnd"/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) which is the result that at least one of the ligands has a </w:t>
      </w:r>
      <w:proofErr w:type="spellStart"/>
      <w:r w:rsidR="00BD41B9">
        <w:rPr>
          <w:rFonts w:ascii="Times New Roman" w:hAnsi="Times New Roman" w:cs="Times New Roman"/>
          <w:sz w:val="24"/>
          <w:szCs w:val="24"/>
          <w:lang w:val="en-US"/>
        </w:rPr>
        <w:t>monoanionic</w:t>
      </w:r>
      <w:proofErr w:type="spellEnd"/>
      <w:r w:rsidR="00BD41B9">
        <w:rPr>
          <w:rFonts w:ascii="Times New Roman" w:hAnsi="Times New Roman" w:cs="Times New Roman"/>
          <w:sz w:val="24"/>
          <w:szCs w:val="24"/>
          <w:lang w:val="en-US"/>
        </w:rPr>
        <w:t xml:space="preserve"> formulation.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 The second one at 486nm is the </w:t>
      </w:r>
      <w:proofErr w:type="spellStart"/>
      <w:r w:rsidR="00B27B53">
        <w:rPr>
          <w:rFonts w:ascii="Times New Roman" w:hAnsi="Times New Roman" w:cs="Times New Roman"/>
          <w:sz w:val="24"/>
          <w:szCs w:val="24"/>
          <w:lang w:val="en-US"/>
        </w:rPr>
        <w:t>MLCT</w:t>
      </w:r>
      <w:proofErr w:type="spellEnd"/>
      <w:r w:rsidR="00B27B53">
        <w:rPr>
          <w:rFonts w:ascii="Times New Roman" w:hAnsi="Times New Roman" w:cs="Times New Roman"/>
          <w:sz w:val="24"/>
          <w:szCs w:val="24"/>
          <w:lang w:val="en-US"/>
        </w:rPr>
        <w:t xml:space="preserve"> of the complex with </w:t>
      </w:r>
      <w:r w:rsidR="00B27B53">
        <w:rPr>
          <w:rFonts w:ascii="Times New Roman" w:hAnsi="Times New Roman" w:cs="Times New Roman"/>
          <w:sz w:val="24"/>
          <w:szCs w:val="24"/>
        </w:rPr>
        <w:t>ε</w:t>
      </w:r>
      <w:r w:rsidR="00B27B53" w:rsidRPr="00B27B5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615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000Μ</w:t>
      </w:r>
      <w:r w:rsidR="00B27B53" w:rsidRPr="00B27B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B27B53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27B53" w:rsidRPr="00B27B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</w:p>
    <w:p w14:paraId="39BF3711" w14:textId="296F466D" w:rsidR="00C24BAD" w:rsidRDefault="002B5377" w:rsidP="00070989">
      <w:pPr>
        <w:pStyle w:val="a3"/>
        <w:spacing w:after="0" w:line="480" w:lineRule="auto"/>
        <w:ind w:left="0"/>
        <w:jc w:val="both"/>
      </w:pPr>
      <w:r w:rsidRPr="00D706D8">
        <w:rPr>
          <w:lang w:val="en-US"/>
        </w:rPr>
        <w:t xml:space="preserve">           </w:t>
      </w:r>
      <w:r w:rsidR="001C1250">
        <w:object w:dxaOrig="7050" w:dyaOrig="5040" w14:anchorId="77B05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35pt;height:189.6pt" o:ole="">
            <v:imagedata r:id="rId7" o:title=""/>
          </v:shape>
          <o:OLEObject Type="Embed" ProgID="Origin50.Graph" ShapeID="_x0000_i1025" DrawAspect="Content" ObjectID="_1569487063" r:id="rId8"/>
        </w:object>
      </w:r>
    </w:p>
    <w:p w14:paraId="6F5E365A" w14:textId="0C5807F2" w:rsidR="00C24BAD" w:rsidRPr="002B5377" w:rsidRDefault="00C24BAD" w:rsidP="002B5377">
      <w:pPr>
        <w:spacing w:after="0"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5377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Figure 2.Electronic spectra of the complex.</w:t>
      </w:r>
    </w:p>
    <w:p w14:paraId="28357C19" w14:textId="213A5722" w:rsidR="00C24BAD" w:rsidRPr="00C24BAD" w:rsidRDefault="00C24BAD" w:rsidP="00C24BAD">
      <w:pPr>
        <w:pStyle w:val="a3"/>
        <w:spacing w:after="0" w:line="480" w:lineRule="auto"/>
        <w:ind w:left="0" w:firstLine="720"/>
        <w:jc w:val="both"/>
        <w:rPr>
          <w:sz w:val="24"/>
          <w:szCs w:val="24"/>
          <w:lang w:val="en-US"/>
        </w:rPr>
      </w:pPr>
      <w:r w:rsidRPr="00C24BAD">
        <w:rPr>
          <w:sz w:val="24"/>
          <w:szCs w:val="24"/>
          <w:lang w:val="en-US"/>
        </w:rPr>
        <w:t xml:space="preserve">As shown in the spectra the </w:t>
      </w:r>
      <w:proofErr w:type="spellStart"/>
      <w:r w:rsidRPr="00C24BAD">
        <w:rPr>
          <w:sz w:val="24"/>
          <w:szCs w:val="24"/>
          <w:lang w:val="en-US"/>
        </w:rPr>
        <w:t>LLCT</w:t>
      </w:r>
      <w:proofErr w:type="spellEnd"/>
      <w:r w:rsidRPr="00C24BAD">
        <w:rPr>
          <w:sz w:val="24"/>
          <w:szCs w:val="24"/>
          <w:lang w:val="en-US"/>
        </w:rPr>
        <w:t xml:space="preserve"> band </w:t>
      </w:r>
      <w:r w:rsidR="001C1250">
        <w:rPr>
          <w:sz w:val="24"/>
          <w:szCs w:val="24"/>
          <w:lang w:val="en-US"/>
        </w:rPr>
        <w:t xml:space="preserve">in </w:t>
      </w:r>
      <w:proofErr w:type="spellStart"/>
      <w:r w:rsidR="001C1250">
        <w:rPr>
          <w:sz w:val="24"/>
          <w:szCs w:val="24"/>
          <w:lang w:val="en-US"/>
        </w:rPr>
        <w:t>DMF</w:t>
      </w:r>
      <w:proofErr w:type="spellEnd"/>
      <w:r w:rsidR="001C1250">
        <w:rPr>
          <w:sz w:val="24"/>
          <w:szCs w:val="24"/>
          <w:lang w:val="en-US"/>
        </w:rPr>
        <w:t xml:space="preserve"> solvent </w:t>
      </w:r>
      <w:r w:rsidRPr="00C24BAD">
        <w:rPr>
          <w:sz w:val="24"/>
          <w:szCs w:val="24"/>
          <w:lang w:val="en-US"/>
        </w:rPr>
        <w:t>is reduced after 3 days</w:t>
      </w:r>
      <w:r w:rsidR="001C1250">
        <w:rPr>
          <w:sz w:val="24"/>
          <w:szCs w:val="24"/>
          <w:lang w:val="en-US"/>
        </w:rPr>
        <w:t>(Fig.2)</w:t>
      </w:r>
      <w:r w:rsidRPr="00C24BAD">
        <w:rPr>
          <w:sz w:val="24"/>
          <w:szCs w:val="24"/>
          <w:lang w:val="en-US"/>
        </w:rPr>
        <w:t xml:space="preserve"> fact that indicates that the complex prefers to </w:t>
      </w:r>
      <w:r w:rsidR="00325FC0">
        <w:rPr>
          <w:sz w:val="24"/>
          <w:szCs w:val="24"/>
          <w:lang w:val="en-US"/>
        </w:rPr>
        <w:t xml:space="preserve">be </w:t>
      </w:r>
      <w:r w:rsidRPr="00C24BAD">
        <w:rPr>
          <w:sz w:val="24"/>
          <w:szCs w:val="24"/>
          <w:lang w:val="en-US"/>
        </w:rPr>
        <w:t>stabilize</w:t>
      </w:r>
      <w:r w:rsidR="00325FC0">
        <w:rPr>
          <w:sz w:val="24"/>
          <w:szCs w:val="24"/>
          <w:lang w:val="en-US"/>
        </w:rPr>
        <w:t>d</w:t>
      </w:r>
      <w:r w:rsidRPr="00C24BAD">
        <w:rPr>
          <w:sz w:val="24"/>
          <w:szCs w:val="24"/>
          <w:lang w:val="en-US"/>
        </w:rPr>
        <w:t xml:space="preserve"> in a neutral form.</w:t>
      </w:r>
    </w:p>
    <w:p w14:paraId="404B8E6F" w14:textId="77777777" w:rsidR="00325FC0" w:rsidRDefault="00325FC0" w:rsidP="00325FC0">
      <w:pPr>
        <w:pStyle w:val="a3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4B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Table 1. Absorption maxima and molar </w:t>
      </w:r>
      <w:proofErr w:type="spellStart"/>
      <w:r w:rsidRPr="00C24BAD">
        <w:rPr>
          <w:rFonts w:ascii="Times New Roman" w:hAnsi="Times New Roman" w:cs="Times New Roman"/>
          <w:i/>
          <w:sz w:val="24"/>
          <w:szCs w:val="24"/>
          <w:lang w:val="en-US"/>
        </w:rPr>
        <w:t>absorpvities</w:t>
      </w:r>
      <w:proofErr w:type="spellEnd"/>
      <w:r w:rsidRPr="00C24B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complex in DMF.</w:t>
      </w:r>
    </w:p>
    <w:tbl>
      <w:tblPr>
        <w:tblpPr w:leftFromText="180" w:rightFromText="180" w:vertAnchor="text" w:horzAnchor="page" w:tblpX="3375" w:tblpY="117"/>
        <w:tblW w:w="38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916"/>
        <w:gridCol w:w="1418"/>
      </w:tblGrid>
      <w:tr w:rsidR="00325FC0" w14:paraId="6AF5C83E" w14:textId="77777777" w:rsidTr="00325FC0">
        <w:tc>
          <w:tcPr>
            <w:tcW w:w="1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78084282" w14:textId="77777777" w:rsidR="00325FC0" w:rsidRPr="00C24BAD" w:rsidRDefault="00325FC0" w:rsidP="00325FC0">
            <w:pPr>
              <w:widowControl w:val="0"/>
              <w:autoSpaceDE w:val="0"/>
              <w:autoSpaceDN w:val="0"/>
              <w:adjustRightInd w:val="0"/>
              <w:spacing w:after="0" w:line="9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>Absorbance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6FEC6E88" w14:textId="77777777" w:rsidR="00325FC0" w:rsidRPr="00C24BAD" w:rsidRDefault="00325FC0" w:rsidP="00325FC0">
            <w:pPr>
              <w:widowControl w:val="0"/>
              <w:autoSpaceDE w:val="0"/>
              <w:autoSpaceDN w:val="0"/>
              <w:adjustRightInd w:val="0"/>
              <w:spacing w:after="0" w:line="10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 xml:space="preserve"> 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>λ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5C595A9B" w14:textId="77BB57E0" w:rsidR="00325FC0" w:rsidRPr="00325FC0" w:rsidRDefault="00325FC0" w:rsidP="00325FC0">
            <w:pPr>
              <w:widowControl w:val="0"/>
              <w:autoSpaceDE w:val="0"/>
              <w:autoSpaceDN w:val="0"/>
              <w:adjustRightInd w:val="0"/>
              <w:spacing w:after="0" w:line="78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>ε</w:t>
            </w:r>
            <w:r>
              <w:rPr>
                <w:rFonts w:ascii="Times New Roman" w:hAnsi="Times New Roman" w:cs="Times New Roman"/>
                <w:color w:val="FB0007"/>
                <w:sz w:val="24"/>
                <w:szCs w:val="24"/>
                <w:lang w:val="en-US"/>
              </w:rPr>
              <w:t xml:space="preserve"> (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>Μ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  <w:vertAlign w:val="superscript"/>
              </w:rPr>
              <w:t>-1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</w:rPr>
              <w:t>cm</w:t>
            </w:r>
            <w:r w:rsidRPr="00C24BAD">
              <w:rPr>
                <w:rFonts w:ascii="Times New Roman" w:hAnsi="Times New Roman" w:cs="Times New Roman"/>
                <w:color w:val="FB0007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FB0007"/>
                <w:sz w:val="24"/>
                <w:szCs w:val="24"/>
                <w:lang w:val="en-US"/>
              </w:rPr>
              <w:t>)</w:t>
            </w:r>
          </w:p>
        </w:tc>
      </w:tr>
      <w:tr w:rsidR="00325FC0" w14:paraId="539B9FB4" w14:textId="77777777" w:rsidTr="00325FC0">
        <w:tc>
          <w:tcPr>
            <w:tcW w:w="1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720FEDDA" w14:textId="77777777" w:rsidR="00325FC0" w:rsidRPr="00C24BAD" w:rsidRDefault="00325FC0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813,75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6824C3CC" w14:textId="5AF6B419" w:rsidR="00325FC0" w:rsidRPr="00C24BAD" w:rsidRDefault="001F6159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65784FD6" w14:textId="4210F363" w:rsidR="00325FC0" w:rsidRPr="00C24BAD" w:rsidRDefault="001F6159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118000</w:t>
            </w:r>
          </w:p>
        </w:tc>
      </w:tr>
      <w:tr w:rsidR="00B27B53" w14:paraId="53D2BF61" w14:textId="77777777" w:rsidTr="00325FC0">
        <w:tc>
          <w:tcPr>
            <w:tcW w:w="15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241B1C62" w14:textId="65C192ED" w:rsidR="00B27B53" w:rsidRPr="00C24BAD" w:rsidRDefault="00B27B53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9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3F1C93FC" w14:textId="4C61D6CB" w:rsidR="00B27B53" w:rsidRPr="00C24BAD" w:rsidRDefault="001F6159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E5ED"/>
            <w:tcMar>
              <w:top w:w="26" w:type="nil"/>
              <w:left w:w="26" w:type="nil"/>
              <w:right w:w="26" w:type="nil"/>
            </w:tcMar>
            <w:vAlign w:val="center"/>
          </w:tcPr>
          <w:p w14:paraId="46660B77" w14:textId="1F560365" w:rsidR="00B27B53" w:rsidRPr="00C24BAD" w:rsidRDefault="001F6159" w:rsidP="00325FC0">
            <w:pPr>
              <w:widowControl w:val="0"/>
              <w:autoSpaceDE w:val="0"/>
              <w:autoSpaceDN w:val="0"/>
              <w:adjustRightInd w:val="0"/>
              <w:spacing w:after="0" w:line="6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</w:tbl>
    <w:p w14:paraId="0FE7835B" w14:textId="77777777" w:rsidR="00C24BAD" w:rsidRPr="00FD1DC4" w:rsidRDefault="00C24BAD" w:rsidP="00FD1DC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4156D04" w14:textId="77777777" w:rsidR="00325FC0" w:rsidRDefault="00325FC0" w:rsidP="00FE48DB">
      <w:pPr>
        <w:pStyle w:val="a3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503DF1D" w14:textId="77777777" w:rsidR="00325FC0" w:rsidRDefault="00325FC0" w:rsidP="00FE48DB">
      <w:pPr>
        <w:pStyle w:val="a3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7BD85BC" w14:textId="77777777" w:rsidR="00FE48DB" w:rsidRDefault="00FE48DB" w:rsidP="00FE48DB">
      <w:pPr>
        <w:pStyle w:val="a3"/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A1DC85C" w14:textId="77777777" w:rsidR="00FD1DC4" w:rsidRPr="00486278" w:rsidRDefault="00FD1DC4" w:rsidP="0048627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5A286C1" w14:textId="6E04DBA8" w:rsidR="00C24BAD" w:rsidRDefault="0066585C" w:rsidP="00C24BAD">
      <w:pPr>
        <w:pStyle w:val="a3"/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58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2.2.2 Cyclic Voltammetry</w:t>
      </w:r>
    </w:p>
    <w:p w14:paraId="1BD4FFC6" w14:textId="76854852" w:rsidR="0066585C" w:rsidRDefault="0066585C" w:rsidP="00C24BAD">
      <w:pPr>
        <w:pStyle w:val="a3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Measurement was performed using a glassy carbon as a working electrode, a platinum wire as an auxiliary electrode</w:t>
      </w:r>
      <w:r w:rsidR="0084628D">
        <w:rPr>
          <w:rFonts w:ascii="Times New Roman" w:hAnsi="Times New Roman" w:cs="Times New Roman"/>
          <w:sz w:val="24"/>
          <w:szCs w:val="24"/>
          <w:lang w:val="en-US"/>
        </w:rPr>
        <w:t xml:space="preserve">. A sample solution containing 1,0 </w:t>
      </w:r>
      <w:proofErr w:type="spellStart"/>
      <w:r w:rsidR="0084628D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="0084628D">
        <w:rPr>
          <w:rFonts w:ascii="Times New Roman" w:hAnsi="Times New Roman" w:cs="Times New Roman"/>
          <w:sz w:val="24"/>
          <w:szCs w:val="24"/>
          <w:lang w:val="en-US"/>
        </w:rPr>
        <w:t xml:space="preserve"> complex and 0,10M TBAPF</w:t>
      </w:r>
      <w:r w:rsidR="0084628D" w:rsidRPr="0084628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84628D">
        <w:rPr>
          <w:rFonts w:ascii="Times New Roman" w:hAnsi="Times New Roman" w:cs="Times New Roman"/>
          <w:sz w:val="24"/>
          <w:szCs w:val="24"/>
          <w:lang w:val="en-US"/>
        </w:rPr>
        <w:t xml:space="preserve"> as an electrolyte in dry DMF was prepared</w:t>
      </w:r>
      <w:r w:rsidR="001331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25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31A0">
        <w:rPr>
          <w:rFonts w:ascii="Times New Roman" w:hAnsi="Times New Roman" w:cs="Times New Roman"/>
          <w:sz w:val="24"/>
          <w:szCs w:val="24"/>
          <w:lang w:val="en-US"/>
        </w:rPr>
        <w:t>at scan rate 80mV/s</w:t>
      </w:r>
      <w:r w:rsidR="00457595">
        <w:rPr>
          <w:rFonts w:ascii="Times New Roman" w:hAnsi="Times New Roman" w:cs="Times New Roman"/>
          <w:sz w:val="24"/>
          <w:szCs w:val="24"/>
          <w:lang w:val="en-US"/>
        </w:rPr>
        <w:t xml:space="preserve"> as reference FC/FC</w:t>
      </w:r>
      <w:r w:rsidR="00457595" w:rsidRPr="004575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8462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2436">
        <w:rPr>
          <w:rFonts w:ascii="Times New Roman" w:hAnsi="Times New Roman" w:cs="Times New Roman"/>
          <w:sz w:val="24"/>
          <w:szCs w:val="24"/>
          <w:lang w:val="en-US"/>
        </w:rPr>
        <w:t xml:space="preserve"> The cyclic </w:t>
      </w:r>
      <w:proofErr w:type="spellStart"/>
      <w:r w:rsidR="00952436">
        <w:rPr>
          <w:rFonts w:ascii="Times New Roman" w:hAnsi="Times New Roman" w:cs="Times New Roman"/>
          <w:sz w:val="24"/>
          <w:szCs w:val="24"/>
          <w:lang w:val="en-US"/>
        </w:rPr>
        <w:t>voltammogramm</w:t>
      </w:r>
      <w:proofErr w:type="spellEnd"/>
      <w:r w:rsidR="009524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628D">
        <w:rPr>
          <w:rFonts w:ascii="Times New Roman" w:hAnsi="Times New Roman" w:cs="Times New Roman"/>
          <w:sz w:val="24"/>
          <w:szCs w:val="24"/>
          <w:lang w:val="en-US"/>
        </w:rPr>
        <w:t>shown in Figure 3.</w:t>
      </w:r>
    </w:p>
    <w:p w14:paraId="6F0CB652" w14:textId="36DF8615" w:rsidR="00CA1262" w:rsidRDefault="00EA1D57" w:rsidP="00CA1262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noProof/>
          <w:color w:val="000000"/>
          <w:sz w:val="24"/>
          <w:szCs w:val="24"/>
          <w:lang w:eastAsia="el-GR"/>
        </w:rPr>
        <w:lastRenderedPageBreak/>
        <w:drawing>
          <wp:inline distT="0" distB="0" distL="0" distR="0" wp14:anchorId="3827B603" wp14:editId="0E241DBC">
            <wp:extent cx="5270500" cy="4008120"/>
            <wp:effectExtent l="0" t="0" r="12700" b="508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Στιγμιότυπο 2017-10-13, 11.05.4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262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6BC1BB61" w14:textId="46D3752A" w:rsidR="0084628D" w:rsidRPr="008C3210" w:rsidRDefault="0084628D" w:rsidP="008462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color w:val="000000"/>
          <w:sz w:val="24"/>
          <w:szCs w:val="24"/>
          <w:lang w:val="en-US"/>
        </w:rPr>
      </w:pPr>
      <w:r w:rsidRPr="008C3210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</w:p>
    <w:p w14:paraId="3A9AE2D6" w14:textId="71737E74" w:rsidR="0084628D" w:rsidRDefault="008C3210" w:rsidP="008C3210">
      <w:pPr>
        <w:pStyle w:val="a3"/>
        <w:spacing w:after="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2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Figure </w:t>
      </w:r>
      <w:proofErr w:type="gramStart"/>
      <w:r w:rsidRPr="008C3210">
        <w:rPr>
          <w:rFonts w:ascii="Times New Roman" w:hAnsi="Times New Roman" w:cs="Times New Roman"/>
          <w:i/>
          <w:sz w:val="24"/>
          <w:szCs w:val="24"/>
          <w:lang w:val="en-US"/>
        </w:rPr>
        <w:t>3.Cyclic</w:t>
      </w:r>
      <w:proofErr w:type="gramEnd"/>
      <w:r w:rsidRPr="008C32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Voltammetry of the complex</w:t>
      </w:r>
    </w:p>
    <w:p w14:paraId="5B706948" w14:textId="77777777" w:rsidR="00CA1262" w:rsidRDefault="00CA1262" w:rsidP="008C32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1AEFAD" w14:textId="00E9A7B1" w:rsidR="00D07A6C" w:rsidRDefault="0093062E" w:rsidP="008C32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shown in Figure 3, three oxidative and three reductive waves </w:t>
      </w:r>
      <w:r w:rsidR="00DB2F26">
        <w:rPr>
          <w:rFonts w:ascii="Times New Roman" w:hAnsi="Times New Roman" w:cs="Times New Roman"/>
          <w:sz w:val="24"/>
          <w:szCs w:val="24"/>
          <w:lang w:val="en-US"/>
        </w:rPr>
        <w:t>appeared.</w:t>
      </w:r>
      <w:r w:rsidR="00CE52AB">
        <w:rPr>
          <w:rFonts w:ascii="Times New Roman" w:hAnsi="Times New Roman" w:cs="Times New Roman"/>
          <w:sz w:val="24"/>
          <w:szCs w:val="24"/>
          <w:lang w:val="en-US"/>
        </w:rPr>
        <w:t xml:space="preserve"> The three </w:t>
      </w:r>
      <w:r w:rsidR="00BB4AE8">
        <w:rPr>
          <w:rFonts w:ascii="Times New Roman" w:hAnsi="Times New Roman" w:cs="Times New Roman"/>
          <w:sz w:val="24"/>
          <w:szCs w:val="24"/>
          <w:lang w:val="en-US"/>
        </w:rPr>
        <w:t>oxidative waves at 0,63</w:t>
      </w:r>
      <w:proofErr w:type="gramStart"/>
      <w:r w:rsidR="00CE52AB">
        <w:rPr>
          <w:rFonts w:ascii="Times New Roman" w:hAnsi="Times New Roman" w:cs="Times New Roman"/>
          <w:sz w:val="24"/>
          <w:szCs w:val="24"/>
          <w:lang w:val="en-US"/>
        </w:rPr>
        <w:t>V,</w:t>
      </w:r>
      <w:r w:rsidR="00BB4AE8">
        <w:rPr>
          <w:rFonts w:ascii="Times New Roman" w:hAnsi="Times New Roman" w:cs="Times New Roman"/>
          <w:sz w:val="24"/>
          <w:szCs w:val="24"/>
          <w:lang w:val="en-US"/>
        </w:rPr>
        <w:t>0,029</w:t>
      </w:r>
      <w:proofErr w:type="gramEnd"/>
      <w:r w:rsidR="00BB4A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E52AB">
        <w:rPr>
          <w:rFonts w:ascii="Times New Roman" w:hAnsi="Times New Roman" w:cs="Times New Roman"/>
          <w:sz w:val="24"/>
          <w:szCs w:val="24"/>
          <w:lang w:val="en-US"/>
        </w:rPr>
        <w:t xml:space="preserve"> and at -0,44V can be explained </w:t>
      </w:r>
      <w:r w:rsidR="000536EC">
        <w:rPr>
          <w:rFonts w:ascii="Times New Roman" w:hAnsi="Times New Roman" w:cs="Times New Roman"/>
          <w:sz w:val="24"/>
          <w:szCs w:val="24"/>
          <w:lang w:val="en-US"/>
        </w:rPr>
        <w:t>as the protonation of the three nitrogen in the ligands of the complex occurs.</w:t>
      </w:r>
      <w:r w:rsidR="00B03EEF">
        <w:rPr>
          <w:rFonts w:ascii="Times New Roman" w:hAnsi="Times New Roman" w:cs="Times New Roman"/>
          <w:sz w:val="24"/>
          <w:szCs w:val="24"/>
          <w:lang w:val="en-US"/>
        </w:rPr>
        <w:t xml:space="preserve"> And the irreversible reductive waves at -0,053V,0,78V and at -1,45V occurs under the deprotonation of the three nitrogen in the ligands of the </w:t>
      </w:r>
      <w:proofErr w:type="gramStart"/>
      <w:r w:rsidR="00B03EEF">
        <w:rPr>
          <w:rFonts w:ascii="Times New Roman" w:hAnsi="Times New Roman" w:cs="Times New Roman"/>
          <w:sz w:val="24"/>
          <w:szCs w:val="24"/>
          <w:lang w:val="en-US"/>
        </w:rPr>
        <w:t>complex.</w:t>
      </w:r>
      <w:r w:rsidR="00D43DE9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D43DE9">
        <w:rPr>
          <w:rFonts w:ascii="Times New Roman" w:hAnsi="Times New Roman" w:cs="Times New Roman"/>
          <w:sz w:val="24"/>
          <w:szCs w:val="24"/>
          <w:lang w:val="en-US"/>
        </w:rPr>
        <w:t>13]</w:t>
      </w:r>
    </w:p>
    <w:p w14:paraId="494FE8AD" w14:textId="6DF7D885" w:rsidR="008415C2" w:rsidRDefault="008415C2" w:rsidP="008415C2">
      <w:pPr>
        <w:pStyle w:val="a3"/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2.2.3 Photocatalytic Water Reduction to Molecular Hydrogen</w:t>
      </w:r>
    </w:p>
    <w:p w14:paraId="58ACF84C" w14:textId="1A957870" w:rsidR="00D71B35" w:rsidRDefault="008415C2" w:rsidP="00DB0EA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photocatalytic reaction a total of 30ml sample solution was prepared, containing 10</w:t>
      </w:r>
      <w:r w:rsidRPr="008415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 complex as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catalyst</w:t>
      </w:r>
      <w:r w:rsidR="00D86D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1B35">
        <w:rPr>
          <w:rFonts w:ascii="Times New Roman" w:hAnsi="Times New Roman" w:cs="Times New Roman"/>
          <w:sz w:val="24"/>
          <w:szCs w:val="24"/>
          <w:lang w:val="en-US"/>
        </w:rPr>
        <w:t xml:space="preserve"> Fl</w:t>
      </w:r>
      <w:r w:rsidR="00EA1D57">
        <w:rPr>
          <w:rFonts w:ascii="Times New Roman" w:hAnsi="Times New Roman" w:cs="Times New Roman"/>
          <w:sz w:val="24"/>
          <w:szCs w:val="24"/>
          <w:lang w:val="en-US"/>
        </w:rPr>
        <w:t>uorescein</w:t>
      </w:r>
      <w:proofErr w:type="gramEnd"/>
      <w:r w:rsidR="00D71B35">
        <w:rPr>
          <w:rFonts w:ascii="Times New Roman" w:hAnsi="Times New Roman" w:cs="Times New Roman"/>
          <w:sz w:val="24"/>
          <w:szCs w:val="24"/>
          <w:lang w:val="en-US"/>
        </w:rPr>
        <w:t xml:space="preserve"> 1mM as a photosensitizer</w:t>
      </w:r>
      <w:r w:rsidR="00D86DE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1B35">
        <w:rPr>
          <w:rFonts w:ascii="Times New Roman" w:hAnsi="Times New Roman" w:cs="Times New Roman"/>
          <w:sz w:val="24"/>
          <w:szCs w:val="24"/>
          <w:lang w:val="en-US"/>
        </w:rPr>
        <w:t>TEOA as a sacrificial donor dissolved in H2O:DMF</w:t>
      </w:r>
      <w:r w:rsidR="00D86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62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(2:1).</w:t>
      </w:r>
      <w:r w:rsidR="00AE5940">
        <w:rPr>
          <w:rFonts w:ascii="Times New Roman" w:hAnsi="Times New Roman" w:cs="Times New Roman"/>
          <w:sz w:val="24"/>
          <w:szCs w:val="24"/>
          <w:lang w:val="en-US"/>
        </w:rPr>
        <w:t>The results are shown in Figures 4 and 5.</w:t>
      </w:r>
    </w:p>
    <w:p w14:paraId="6FCC070B" w14:textId="77777777" w:rsidR="00273E7D" w:rsidRDefault="00D71B35" w:rsidP="00D71B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5132E39A" wp14:editId="21B94A21">
            <wp:extent cx="5349922" cy="2552132"/>
            <wp:effectExtent l="0" t="0" r="22225" b="19685"/>
            <wp:docPr id="33" name="Γράφημα 3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6170009-4194-4AE8-A76A-34ED7B4D3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1D34AD" w14:textId="72346B18" w:rsidR="00273E7D" w:rsidRDefault="00273E7D" w:rsidP="00D86DE5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17861">
        <w:rPr>
          <w:rFonts w:ascii="Times New Roman" w:hAnsi="Times New Roman" w:cs="Times New Roman"/>
          <w:i/>
          <w:sz w:val="24"/>
          <w:szCs w:val="24"/>
          <w:lang w:val="en-US"/>
        </w:rPr>
        <w:t>Figure 4.</w:t>
      </w:r>
      <w:r w:rsidRPr="00317861">
        <w:rPr>
          <w:rFonts w:ascii="Times" w:hAnsi="Times" w:cs="Times"/>
          <w:i/>
          <w:color w:val="000000"/>
          <w:sz w:val="29"/>
          <w:szCs w:val="29"/>
          <w:lang w:val="en-US"/>
        </w:rPr>
        <w:t xml:space="preserve"> </w:t>
      </w:r>
      <w:r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Light-driven hydrogen production from a system containing 10</w:t>
      </w:r>
      <w:r w:rsidRPr="0031786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-5</w:t>
      </w:r>
      <w:r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 complex, fluorescein 1</w:t>
      </w:r>
      <w:proofErr w:type="gramStart"/>
      <w:r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mM,TEOA</w:t>
      </w:r>
      <w:proofErr w:type="gramEnd"/>
      <w:r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0,5M dissolved in DMF:H</w:t>
      </w:r>
      <w:r w:rsidRPr="00317861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</w:t>
      </w:r>
      <w:r w:rsidR="004575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(1:2)</w:t>
      </w:r>
    </w:p>
    <w:p w14:paraId="05E4DF11" w14:textId="77777777" w:rsidR="00AE5940" w:rsidRPr="00273E7D" w:rsidRDefault="00AE5940" w:rsidP="00D86DE5">
      <w:pPr>
        <w:widowControl w:val="0"/>
        <w:autoSpaceDE w:val="0"/>
        <w:autoSpaceDN w:val="0"/>
        <w:adjustRightInd w:val="0"/>
        <w:spacing w:after="360" w:line="240" w:lineRule="auto"/>
        <w:rPr>
          <w:rFonts w:ascii="Times" w:hAnsi="Times" w:cs="Times"/>
          <w:i/>
          <w:color w:val="000000"/>
          <w:sz w:val="24"/>
          <w:szCs w:val="24"/>
          <w:lang w:val="en-US"/>
        </w:rPr>
      </w:pPr>
    </w:p>
    <w:p w14:paraId="1010EE54" w14:textId="01371494" w:rsidR="00D71B35" w:rsidRDefault="00DB0EAF" w:rsidP="00D71B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73DE0BB8" wp14:editId="2E9E18C7">
            <wp:extent cx="5328920" cy="2242141"/>
            <wp:effectExtent l="0" t="0" r="5080" b="19050"/>
            <wp:docPr id="34" name="Γράφημα 3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12E97C0-5D91-41CC-96B6-6C6C21539C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F03CCB" w14:textId="5FFD7AEB" w:rsidR="00DB0EAF" w:rsidRDefault="00273E7D" w:rsidP="00D8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Figure 5</w:t>
      </w:r>
      <w:r w:rsidR="00D71B35" w:rsidRPr="0031786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71B35" w:rsidRPr="00317861">
        <w:rPr>
          <w:rFonts w:ascii="Times" w:hAnsi="Times" w:cs="Times"/>
          <w:i/>
          <w:color w:val="000000"/>
          <w:sz w:val="29"/>
          <w:szCs w:val="29"/>
          <w:lang w:val="en-US"/>
        </w:rPr>
        <w:t xml:space="preserve"> </w:t>
      </w:r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Light-driven hydrogen production from a system containing 10</w:t>
      </w:r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-5</w:t>
      </w:r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 complex, fluorescein 1</w:t>
      </w:r>
      <w:proofErr w:type="gramStart"/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mM,TEOA</w:t>
      </w:r>
      <w:proofErr w:type="gramEnd"/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0,5M dissolved in DMF:H</w:t>
      </w:r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n-US"/>
        </w:rPr>
        <w:t>2</w:t>
      </w:r>
      <w:r w:rsidR="00D71B35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</w:t>
      </w:r>
      <w:r w:rsidR="00DB0EAF" w:rsidRPr="003178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4575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(1:2)</w:t>
      </w:r>
    </w:p>
    <w:p w14:paraId="03C823A0" w14:textId="77777777" w:rsidR="00B45C14" w:rsidRDefault="00B45C14" w:rsidP="00D8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00B54B8" w14:textId="77777777" w:rsidR="00B45C14" w:rsidRDefault="00B45C14" w:rsidP="00D86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6A28AF8" w14:textId="0C648360" w:rsidR="00B45C14" w:rsidRDefault="00B45C14" w:rsidP="00B45C1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photocatalytic activity of the system is tested and it is long term with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TON</w:t>
      </w:r>
      <w:r w:rsidRPr="00DB0E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equals to 445. This activity is among the highest ones observed for Ni(II) compounds acting as reductive catalysts. </w:t>
      </w:r>
      <w:r w:rsidR="00AE5940">
        <w:rPr>
          <w:rFonts w:ascii="Times New Roman" w:hAnsi="Times New Roman" w:cs="Times New Roman"/>
          <w:sz w:val="24"/>
          <w:szCs w:val="24"/>
          <w:lang w:val="en-US"/>
        </w:rPr>
        <w:t>Thus,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class of compounds is a promising one for low cost, abundant and friendly to </w:t>
      </w:r>
      <w:r w:rsidR="00AE5940">
        <w:rPr>
          <w:rFonts w:ascii="Times New Roman" w:hAnsi="Times New Roman" w:cs="Times New Roman"/>
          <w:sz w:val="24"/>
          <w:szCs w:val="24"/>
          <w:lang w:val="en-US"/>
        </w:rPr>
        <w:t xml:space="preserve">environment catalysts for the </w:t>
      </w:r>
      <w:proofErr w:type="spellStart"/>
      <w:r w:rsidR="00AE5940">
        <w:rPr>
          <w:rFonts w:ascii="Times New Roman" w:hAnsi="Times New Roman" w:cs="Times New Roman"/>
          <w:sz w:val="24"/>
          <w:szCs w:val="24"/>
          <w:lang w:val="en-US"/>
        </w:rPr>
        <w:t>photoreduction</w:t>
      </w:r>
      <w:proofErr w:type="spellEnd"/>
      <w:r w:rsidR="00AE5940">
        <w:rPr>
          <w:rFonts w:ascii="Times New Roman" w:hAnsi="Times New Roman" w:cs="Times New Roman"/>
          <w:sz w:val="24"/>
          <w:szCs w:val="24"/>
          <w:lang w:val="en-US"/>
        </w:rPr>
        <w:t xml:space="preserve"> of water.</w:t>
      </w:r>
    </w:p>
    <w:p w14:paraId="0CC23559" w14:textId="77777777" w:rsidR="00457595" w:rsidRDefault="00457595" w:rsidP="00B45C1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EA4EE8" w14:textId="77777777" w:rsidR="00227DBE" w:rsidRPr="00B46382" w:rsidRDefault="00227DBE" w:rsidP="00B45C1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D746F2" w14:textId="77777777" w:rsidR="00B46382" w:rsidRPr="00B46382" w:rsidRDefault="00B46382" w:rsidP="00B463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el-GR"/>
        </w:rPr>
      </w:pPr>
      <w:r w:rsidRPr="00B4638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el-GR"/>
        </w:rPr>
        <w:t>Acknowledgments</w:t>
      </w:r>
    </w:p>
    <w:p w14:paraId="7D5D1DB6" w14:textId="28E1ECEE" w:rsidR="00B46382" w:rsidRDefault="00B46382" w:rsidP="00227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r w:rsidRPr="00B46382">
        <w:rPr>
          <w:rFonts w:ascii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Financial support from Special Research Account of </w:t>
      </w:r>
      <w:proofErr w:type="spellStart"/>
      <w:r w:rsidRPr="00B46382">
        <w:rPr>
          <w:rFonts w:ascii="Times New Roman" w:hAnsi="Times New Roman" w:cs="Times New Roman"/>
          <w:color w:val="000000" w:themeColor="text1"/>
          <w:sz w:val="24"/>
          <w:szCs w:val="24"/>
          <w:lang w:val="en-US" w:eastAsia="el-GR"/>
        </w:rPr>
        <w:t>NKUA</w:t>
      </w:r>
      <w:proofErr w:type="spellEnd"/>
      <w:r w:rsidRPr="00B46382">
        <w:rPr>
          <w:rFonts w:ascii="Times New Roman" w:hAnsi="Times New Roman" w:cs="Times New Roman"/>
          <w:color w:val="000000" w:themeColor="text1"/>
          <w:sz w:val="24"/>
          <w:szCs w:val="24"/>
          <w:lang w:val="en-US" w:eastAsia="el-GR"/>
        </w:rPr>
        <w:t xml:space="preserve"> and the Master of Science Program 'Inorganic Chemistry and its Application to Industry' is gratefully acknowledged.</w:t>
      </w:r>
    </w:p>
    <w:p w14:paraId="7E4B2758" w14:textId="77777777" w:rsidR="00227DBE" w:rsidRPr="00227DBE" w:rsidRDefault="00227DBE" w:rsidP="00227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 w:eastAsia="el-GR"/>
        </w:rPr>
      </w:pPr>
      <w:bookmarkStart w:id="0" w:name="_GoBack"/>
      <w:bookmarkEnd w:id="0"/>
    </w:p>
    <w:p w14:paraId="13E4AF14" w14:textId="471D5D1E" w:rsidR="00DB0EAF" w:rsidRPr="00D706D8" w:rsidRDefault="00DB0EAF" w:rsidP="00EF11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06D8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14:paraId="1BD5B969" w14:textId="77777777" w:rsidR="002904EB" w:rsidRDefault="002904EB" w:rsidP="00A33C3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proofErr w:type="spellStart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Zarkadoulas</w:t>
      </w:r>
      <w:proofErr w:type="spellEnd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E. </w:t>
      </w:r>
      <w:proofErr w:type="spellStart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Koutsouri</w:t>
      </w:r>
      <w:proofErr w:type="spellEnd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C.A. </w:t>
      </w:r>
      <w:proofErr w:type="spellStart"/>
      <w:proofErr w:type="gramStart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Mitsopoulou</w:t>
      </w:r>
      <w:proofErr w:type="spellEnd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  </w:t>
      </w:r>
      <w:proofErr w:type="spellStart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</w:t>
      </w:r>
      <w:proofErr w:type="spellEnd"/>
      <w:proofErr w:type="gramEnd"/>
      <w:r w:rsidR="00DB0EAF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. Chem. Rev. (2012), 256, 2424-2434.</w:t>
      </w:r>
    </w:p>
    <w:p w14:paraId="0DD2E811" w14:textId="656273C2" w:rsidR="002904EB" w:rsidRDefault="00DB0EAF" w:rsidP="00A33C3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Stiefel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E.I.,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Dithiolene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Chemistry: </w:t>
      </w:r>
      <w:r w:rsidRPr="002904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Synthesis, Properties and Applications</w:t>
      </w:r>
      <w:r w:rsidR="00405A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 Wiley and </w:t>
      </w:r>
      <w:proofErr w:type="gramStart"/>
      <w:r w:rsidR="00405A22">
        <w:rPr>
          <w:rFonts w:ascii="Times New Roman" w:hAnsi="Times New Roman" w:cs="Times New Roman"/>
          <w:color w:val="000000"/>
          <w:sz w:val="24"/>
          <w:szCs w:val="24"/>
          <w:lang w:val="en-US"/>
        </w:rPr>
        <w:t>Sons,</w:t>
      </w:r>
      <w:r w:rsidR="000D0E2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End"/>
      <w:r w:rsidR="000D0E28">
        <w:rPr>
          <w:rFonts w:ascii="Times New Roman" w:hAnsi="Times New Roman" w:cs="Times New Roman"/>
          <w:color w:val="000000"/>
          <w:sz w:val="24"/>
          <w:szCs w:val="24"/>
          <w:lang w:val="en-US"/>
        </w:rPr>
        <w:t>2004)</w:t>
      </w:r>
      <w:r w:rsidR="001E0C2F">
        <w:rPr>
          <w:rFonts w:ascii="Times New Roman" w:hAnsi="Times New Roman" w:cs="Times New Roman"/>
          <w:color w:val="000000"/>
          <w:sz w:val="24"/>
          <w:szCs w:val="24"/>
          <w:lang w:val="en-US"/>
        </w:rPr>
        <w:t>,52.</w:t>
      </w:r>
    </w:p>
    <w:p w14:paraId="697F9A35" w14:textId="77777777" w:rsidR="002904EB" w:rsidRDefault="00DB0EAF" w:rsidP="00A33C33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R. Humphry-Baker, C.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 </w:t>
      </w:r>
      <w:proofErr w:type="spellStart"/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Mitsopoulou</w:t>
      </w:r>
      <w:proofErr w:type="spellEnd"/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Katakis</w:t>
      </w:r>
      <w:proofErr w:type="spellEnd"/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and </w:t>
      </w:r>
      <w:proofErr w:type="spellStart"/>
      <w:proofErr w:type="gram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E.Vrachnou</w:t>
      </w:r>
      <w:proofErr w:type="spellEnd"/>
      <w:proofErr w:type="gram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 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J.Photochem.Photobiol.A:Chem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.,(1998), 114, 137-144.</w:t>
      </w:r>
    </w:p>
    <w:p w14:paraId="5AE94275" w14:textId="7BB4FC3D" w:rsidR="002904EB" w:rsidRDefault="00DB0EAF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Zarkadoulas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 J. Field, V.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Artero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C. A.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Mitsopoulou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ChemCatChem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, (2017)</w:t>
      </w:r>
      <w:r w:rsidR="00405A22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2E008B">
        <w:rPr>
          <w:rFonts w:ascii="Times New Roman" w:hAnsi="Times New Roman" w:cs="Times New Roman"/>
          <w:color w:val="000000"/>
          <w:sz w:val="24"/>
          <w:szCs w:val="24"/>
          <w:lang w:val="en-US"/>
        </w:rPr>
        <w:t>9,2308-2317.</w:t>
      </w:r>
    </w:p>
    <w:p w14:paraId="5831F8CB" w14:textId="77777777" w:rsidR="002904EB" w:rsidRDefault="00A52FCF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Durgutlu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Ahmet Materials &amp; Design 25 (2003),25,19–23. </w:t>
      </w:r>
    </w:p>
    <w:p w14:paraId="73AC5FD5" w14:textId="6C0B0D57" w:rsidR="002904EB" w:rsidRPr="002904EB" w:rsidRDefault="008049F0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Vogel, </w:t>
      </w:r>
      <w:proofErr w:type="gramStart"/>
      <w:r w:rsidRPr="002904EB">
        <w:rPr>
          <w:rFonts w:ascii="Times New Roman" w:hAnsi="Times New Roman" w:cs="Times New Roman"/>
          <w:color w:val="1A1A1A"/>
          <w:sz w:val="24"/>
          <w:szCs w:val="24"/>
          <w:lang w:val="en-US"/>
        </w:rPr>
        <w:t>A.E.:</w:t>
      </w:r>
      <w:r w:rsidRPr="002904EB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t>A</w:t>
      </w:r>
      <w:proofErr w:type="gramEnd"/>
      <w:r w:rsidRPr="002904EB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t xml:space="preserve"> textbook of Quantitative Inorganic Analysis</w:t>
      </w:r>
      <w:r w:rsidRPr="002904EB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, Longmans, </w:t>
      </w:r>
      <w:r w:rsidR="00C80679">
        <w:rPr>
          <w:rFonts w:ascii="Times New Roman" w:hAnsi="Times New Roman" w:cs="Times New Roman"/>
          <w:color w:val="1A1A1A"/>
          <w:sz w:val="24"/>
          <w:szCs w:val="24"/>
          <w:lang w:val="en-US"/>
        </w:rPr>
        <w:t>Green and Co,</w:t>
      </w:r>
      <w:r w:rsidR="007F0CB7">
        <w:rPr>
          <w:rFonts w:ascii="Times New Roman" w:hAnsi="Times New Roman" w:cs="Times New Roman"/>
          <w:color w:val="1A1A1A"/>
          <w:sz w:val="24"/>
          <w:szCs w:val="24"/>
          <w:lang w:val="en-US"/>
        </w:rPr>
        <w:t>2</w:t>
      </w:r>
      <w:r w:rsidR="007F0CB7" w:rsidRPr="007F0CB7">
        <w:rPr>
          <w:rFonts w:ascii="Times New Roman" w:hAnsi="Times New Roman" w:cs="Times New Roman"/>
          <w:color w:val="1A1A1A"/>
          <w:sz w:val="24"/>
          <w:szCs w:val="24"/>
          <w:vertAlign w:val="superscript"/>
          <w:lang w:val="en-US"/>
        </w:rPr>
        <w:t>nd</w:t>
      </w:r>
      <w:r w:rsidR="007F0CB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edition,(1953</w:t>
      </w:r>
      <w:r w:rsidR="00C80679">
        <w:rPr>
          <w:rFonts w:ascii="Times New Roman" w:hAnsi="Times New Roman" w:cs="Times New Roman"/>
          <w:color w:val="1A1A1A"/>
          <w:sz w:val="24"/>
          <w:szCs w:val="24"/>
          <w:lang w:val="en-US"/>
        </w:rPr>
        <w:t>)</w:t>
      </w:r>
      <w:r w:rsidR="007F0CB7">
        <w:rPr>
          <w:rFonts w:ascii="Times New Roman" w:hAnsi="Times New Roman" w:cs="Times New Roman"/>
          <w:color w:val="1A1A1A"/>
          <w:sz w:val="24"/>
          <w:szCs w:val="24"/>
          <w:lang w:val="en-US"/>
        </w:rPr>
        <w:t>.</w:t>
      </w:r>
    </w:p>
    <w:p w14:paraId="1B5FD569" w14:textId="0579D872" w:rsidR="002904EB" w:rsidRPr="002904EB" w:rsidRDefault="002904EB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William 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Eckenhoff</w:t>
      </w:r>
      <w:proofErr w:type="spellEnd"/>
      <w:r w:rsidR="008049F0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Richard Eisenberg Dalton </w:t>
      </w:r>
      <w:proofErr w:type="gramStart"/>
      <w:r w:rsidR="008049F0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Trans.(</w:t>
      </w:r>
      <w:proofErr w:type="gramEnd"/>
      <w:r w:rsidR="008049F0"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2012),41, 13004-13021</w:t>
      </w:r>
      <w:r w:rsidR="008049F0" w:rsidRPr="002904E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</w:p>
    <w:p w14:paraId="08EE87CE" w14:textId="46027B50" w:rsidR="009C3D2F" w:rsidRPr="009C3D2F" w:rsidRDefault="009C3D2F" w:rsidP="009C3D2F">
      <w:pPr>
        <w:pStyle w:val="a3"/>
        <w:numPr>
          <w:ilvl w:val="0"/>
          <w:numId w:val="7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Athanasios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Zarkadoulas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, Martin J Field,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Constantina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Papatriantafyllopoulou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, Jennifer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Fize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, Vincent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Artero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 xml:space="preserve">, Christiana A </w:t>
      </w:r>
      <w:proofErr w:type="spell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Mitsopoulou</w:t>
      </w:r>
      <w:proofErr w:type="spell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l-GR"/>
        </w:rPr>
        <w:t>,</w:t>
      </w:r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Inorganic </w:t>
      </w:r>
      <w:proofErr w:type="gramStart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chemistry.(</w:t>
      </w:r>
      <w:proofErr w:type="gramEnd"/>
      <w:r w:rsidRPr="009C3D2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2015),55,432-434.</w:t>
      </w:r>
    </w:p>
    <w:p w14:paraId="5B09E08A" w14:textId="27218493" w:rsidR="002904EB" w:rsidRPr="002904EB" w:rsidRDefault="00EF11BF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Baker-Hawkes, M.-J.;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Billig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E.; Gray, H. B. J. Am. Chem. Soc. 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1966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, 88, 4870</w:t>
      </w:r>
      <w:r w:rsidR="00E251B4">
        <w:rPr>
          <w:rFonts w:ascii="Times New Roman" w:hAnsi="Times New Roman" w:cs="Times New Roman"/>
          <w:color w:val="000000"/>
          <w:sz w:val="24"/>
          <w:szCs w:val="24"/>
          <w:lang w:val="en-US"/>
        </w:rPr>
        <w:t>-4875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904EB">
        <w:rPr>
          <w:rFonts w:ascii="MS Mincho" w:eastAsia="MS Mincho" w:hAnsi="MS Mincho" w:cs="MS Mincho"/>
          <w:color w:val="000000"/>
          <w:sz w:val="24"/>
          <w:szCs w:val="24"/>
          <w:lang w:val="en-US"/>
        </w:rPr>
        <w:t> </w:t>
      </w:r>
    </w:p>
    <w:p w14:paraId="55D8A9A3" w14:textId="180EFBA5" w:rsidR="002904EB" w:rsidRPr="002904EB" w:rsidRDefault="00EF11BF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Balch, A. L. J. Am. Chem. Soc. 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1969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, 91, 1948</w:t>
      </w:r>
      <w:r w:rsidR="00E251B4">
        <w:rPr>
          <w:rFonts w:ascii="Times New Roman" w:hAnsi="Times New Roman" w:cs="Times New Roman"/>
          <w:color w:val="000000"/>
          <w:sz w:val="24"/>
          <w:szCs w:val="24"/>
          <w:lang w:val="en-US"/>
        </w:rPr>
        <w:t>-1953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904EB">
        <w:rPr>
          <w:rFonts w:ascii="MS Mincho" w:eastAsia="MS Mincho" w:hAnsi="MS Mincho" w:cs="MS Mincho"/>
          <w:color w:val="000000"/>
          <w:sz w:val="24"/>
          <w:szCs w:val="24"/>
          <w:lang w:val="en-US"/>
        </w:rPr>
        <w:t> </w:t>
      </w:r>
    </w:p>
    <w:p w14:paraId="439ED1E9" w14:textId="68E83D27" w:rsidR="002904EB" w:rsidRDefault="00EF11BF" w:rsidP="002904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Chen, X. T.; Hu, Y. H.; Wu, D. X.; </w:t>
      </w:r>
      <w:proofErr w:type="spellStart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Weng</w:t>
      </w:r>
      <w:proofErr w:type="spellEnd"/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L. H.; Kang, B. S. Polyhedron 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1991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, 10, 2651</w:t>
      </w:r>
      <w:r w:rsidR="00E251B4">
        <w:rPr>
          <w:rFonts w:ascii="Times New Roman" w:hAnsi="Times New Roman" w:cs="Times New Roman"/>
          <w:color w:val="000000"/>
          <w:sz w:val="24"/>
          <w:szCs w:val="24"/>
          <w:lang w:val="en-US"/>
        </w:rPr>
        <w:t>-2657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2505E572" w14:textId="77777777" w:rsidR="0017494A" w:rsidRDefault="00EF11BF" w:rsidP="0045759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Balch, A. L.; Holm, R. H. J. Am. Chem. Soc. 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1966</w:t>
      </w:r>
      <w:r w:rsid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, 88, 5201</w:t>
      </w:r>
      <w:r w:rsidR="00E251B4">
        <w:rPr>
          <w:rFonts w:ascii="Times New Roman" w:hAnsi="Times New Roman" w:cs="Times New Roman"/>
          <w:color w:val="000000"/>
          <w:sz w:val="24"/>
          <w:szCs w:val="24"/>
          <w:lang w:val="en-US"/>
        </w:rPr>
        <w:t>-5209</w:t>
      </w:r>
      <w:r w:rsidRPr="002904E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0F264F" w14:textId="0B5314F3" w:rsidR="0017494A" w:rsidRPr="0017494A" w:rsidRDefault="0017494A" w:rsidP="0017494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rPr>
          <w:rFonts w:ascii="Times" w:hAnsi="Times" w:cs="Times"/>
          <w:color w:val="000000"/>
          <w:sz w:val="24"/>
          <w:szCs w:val="24"/>
          <w:lang w:val="en-US"/>
        </w:rPr>
      </w:pPr>
      <w:r w:rsidRPr="0017494A">
        <w:rPr>
          <w:rFonts w:ascii="Times" w:hAnsi="Times" w:cs="Times"/>
          <w:color w:val="000000"/>
          <w:sz w:val="24"/>
          <w:szCs w:val="24"/>
          <w:lang w:val="en-US"/>
        </w:rPr>
        <w:t>Masatoshi Ishida, Soo-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Jin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Kim, Christian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Preihs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, Kei Ohkubo, Jong Min Lim,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Byung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Sun Lee, Jung Su Park, Vincent M. Lynch, Vladimir V.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Roznyatovskiy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Tridib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Sarma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Pradeepta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K. Panda, Chang-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Hee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Lee Shunichi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Fukuzumi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,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Dongho</w:t>
      </w:r>
      <w:proofErr w:type="spellEnd"/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 Kim</w:t>
      </w:r>
      <w:r>
        <w:rPr>
          <w:rFonts w:ascii="Times" w:hAnsi="Times" w:cs="Times"/>
          <w:color w:val="000000"/>
          <w:position w:val="-6"/>
          <w:sz w:val="24"/>
          <w:szCs w:val="24"/>
          <w:vertAlign w:val="superscript"/>
          <w:lang w:val="en-US"/>
        </w:rPr>
        <w:t xml:space="preserve"> </w:t>
      </w:r>
      <w:r w:rsidRPr="0017494A">
        <w:rPr>
          <w:rFonts w:ascii="Times" w:hAnsi="Times" w:cs="Times"/>
          <w:color w:val="000000"/>
          <w:sz w:val="24"/>
          <w:szCs w:val="24"/>
          <w:lang w:val="en-US"/>
        </w:rPr>
        <w:t xml:space="preserve">Jonathan L. </w:t>
      </w:r>
      <w:proofErr w:type="spellStart"/>
      <w:r w:rsidRPr="0017494A">
        <w:rPr>
          <w:rFonts w:ascii="Times" w:hAnsi="Times" w:cs="Times"/>
          <w:color w:val="000000"/>
          <w:sz w:val="24"/>
          <w:szCs w:val="24"/>
          <w:lang w:val="en-US"/>
        </w:rPr>
        <w:t>Sessler</w:t>
      </w:r>
      <w:proofErr w:type="spellEnd"/>
      <w:r>
        <w:rPr>
          <w:rFonts w:ascii="Times" w:hAnsi="Times" w:cs="Times"/>
          <w:color w:val="000000"/>
          <w:sz w:val="24"/>
          <w:szCs w:val="24"/>
          <w:lang w:val="en-US"/>
        </w:rPr>
        <w:t xml:space="preserve">. Nature </w:t>
      </w:r>
      <w:proofErr w:type="gramStart"/>
      <w:r>
        <w:rPr>
          <w:rFonts w:ascii="Times" w:hAnsi="Times" w:cs="Times"/>
          <w:color w:val="000000"/>
          <w:sz w:val="24"/>
          <w:szCs w:val="24"/>
          <w:lang w:val="en-US"/>
        </w:rPr>
        <w:t>Chemistry</w:t>
      </w:r>
      <w:r w:rsidR="008D45AF">
        <w:rPr>
          <w:rFonts w:ascii="Times" w:hAnsi="Times" w:cs="Times"/>
          <w:color w:val="000000"/>
          <w:sz w:val="24"/>
          <w:szCs w:val="24"/>
          <w:lang w:val="en-US"/>
        </w:rPr>
        <w:t>(</w:t>
      </w:r>
      <w:proofErr w:type="gramEnd"/>
      <w:r w:rsidR="008D45AF">
        <w:rPr>
          <w:rFonts w:ascii="Times" w:hAnsi="Times" w:cs="Times"/>
          <w:color w:val="000000"/>
          <w:sz w:val="24"/>
          <w:szCs w:val="24"/>
          <w:lang w:val="en-US"/>
        </w:rPr>
        <w:t>2013),5,15-20</w:t>
      </w:r>
    </w:p>
    <w:p w14:paraId="4C8A3358" w14:textId="7E213868" w:rsidR="00DB0EAF" w:rsidRPr="00457595" w:rsidRDefault="00DB0EAF" w:rsidP="008D45AF">
      <w:pPr>
        <w:pStyle w:val="a3"/>
        <w:widowControl w:val="0"/>
        <w:autoSpaceDE w:val="0"/>
        <w:autoSpaceDN w:val="0"/>
        <w:adjustRightInd w:val="0"/>
        <w:spacing w:after="0" w:line="480" w:lineRule="auto"/>
        <w:ind w:left="77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DB0EAF" w:rsidRPr="00457595" w:rsidSect="00A17D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EB31A5"/>
    <w:multiLevelType w:val="hybridMultilevel"/>
    <w:tmpl w:val="11CE4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0BE3"/>
    <w:multiLevelType w:val="hybridMultilevel"/>
    <w:tmpl w:val="5338DB80"/>
    <w:lvl w:ilvl="0" w:tplc="0408000F">
      <w:start w:val="1"/>
      <w:numFmt w:val="decimal"/>
      <w:lvlText w:val="%1."/>
      <w:lvlJc w:val="left"/>
      <w:pPr>
        <w:ind w:left="777" w:hanging="360"/>
      </w:pPr>
    </w:lvl>
    <w:lvl w:ilvl="1" w:tplc="04080019" w:tentative="1">
      <w:start w:val="1"/>
      <w:numFmt w:val="lowerLetter"/>
      <w:lvlText w:val="%2."/>
      <w:lvlJc w:val="left"/>
      <w:pPr>
        <w:ind w:left="1497" w:hanging="360"/>
      </w:pPr>
    </w:lvl>
    <w:lvl w:ilvl="2" w:tplc="0408001B" w:tentative="1">
      <w:start w:val="1"/>
      <w:numFmt w:val="lowerRoman"/>
      <w:lvlText w:val="%3."/>
      <w:lvlJc w:val="right"/>
      <w:pPr>
        <w:ind w:left="2217" w:hanging="180"/>
      </w:pPr>
    </w:lvl>
    <w:lvl w:ilvl="3" w:tplc="0408000F" w:tentative="1">
      <w:start w:val="1"/>
      <w:numFmt w:val="decimal"/>
      <w:lvlText w:val="%4."/>
      <w:lvlJc w:val="left"/>
      <w:pPr>
        <w:ind w:left="2937" w:hanging="360"/>
      </w:pPr>
    </w:lvl>
    <w:lvl w:ilvl="4" w:tplc="04080019" w:tentative="1">
      <w:start w:val="1"/>
      <w:numFmt w:val="lowerLetter"/>
      <w:lvlText w:val="%5."/>
      <w:lvlJc w:val="left"/>
      <w:pPr>
        <w:ind w:left="3657" w:hanging="360"/>
      </w:pPr>
    </w:lvl>
    <w:lvl w:ilvl="5" w:tplc="0408001B" w:tentative="1">
      <w:start w:val="1"/>
      <w:numFmt w:val="lowerRoman"/>
      <w:lvlText w:val="%6."/>
      <w:lvlJc w:val="right"/>
      <w:pPr>
        <w:ind w:left="4377" w:hanging="180"/>
      </w:pPr>
    </w:lvl>
    <w:lvl w:ilvl="6" w:tplc="0408000F" w:tentative="1">
      <w:start w:val="1"/>
      <w:numFmt w:val="decimal"/>
      <w:lvlText w:val="%7."/>
      <w:lvlJc w:val="left"/>
      <w:pPr>
        <w:ind w:left="5097" w:hanging="360"/>
      </w:pPr>
    </w:lvl>
    <w:lvl w:ilvl="7" w:tplc="04080019" w:tentative="1">
      <w:start w:val="1"/>
      <w:numFmt w:val="lowerLetter"/>
      <w:lvlText w:val="%8."/>
      <w:lvlJc w:val="left"/>
      <w:pPr>
        <w:ind w:left="5817" w:hanging="360"/>
      </w:pPr>
    </w:lvl>
    <w:lvl w:ilvl="8" w:tplc="0408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7FB032A"/>
    <w:multiLevelType w:val="multilevel"/>
    <w:tmpl w:val="F6AE0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96939BB"/>
    <w:multiLevelType w:val="hybridMultilevel"/>
    <w:tmpl w:val="EB74614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58224F"/>
    <w:multiLevelType w:val="hybridMultilevel"/>
    <w:tmpl w:val="D4F691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A1CED"/>
    <w:multiLevelType w:val="hybridMultilevel"/>
    <w:tmpl w:val="CDD63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20E83"/>
    <w:multiLevelType w:val="hybridMultilevel"/>
    <w:tmpl w:val="8480A3D8"/>
    <w:lvl w:ilvl="0" w:tplc="35FC902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FBB0BA5"/>
    <w:multiLevelType w:val="multilevel"/>
    <w:tmpl w:val="F6AE0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8B"/>
    <w:rsid w:val="00033079"/>
    <w:rsid w:val="00042380"/>
    <w:rsid w:val="000536EC"/>
    <w:rsid w:val="000658AE"/>
    <w:rsid w:val="00070989"/>
    <w:rsid w:val="0008005B"/>
    <w:rsid w:val="000D0E28"/>
    <w:rsid w:val="001331A0"/>
    <w:rsid w:val="0017021F"/>
    <w:rsid w:val="00174525"/>
    <w:rsid w:val="0017494A"/>
    <w:rsid w:val="001C1250"/>
    <w:rsid w:val="001E0C2F"/>
    <w:rsid w:val="001F3084"/>
    <w:rsid w:val="001F4348"/>
    <w:rsid w:val="001F6159"/>
    <w:rsid w:val="00227DBE"/>
    <w:rsid w:val="00244427"/>
    <w:rsid w:val="00251D25"/>
    <w:rsid w:val="002621B8"/>
    <w:rsid w:val="00272419"/>
    <w:rsid w:val="00273E7D"/>
    <w:rsid w:val="0027431C"/>
    <w:rsid w:val="002759F7"/>
    <w:rsid w:val="002904EB"/>
    <w:rsid w:val="00296C4D"/>
    <w:rsid w:val="002B5377"/>
    <w:rsid w:val="002C3F89"/>
    <w:rsid w:val="002E008B"/>
    <w:rsid w:val="00317861"/>
    <w:rsid w:val="00325FC0"/>
    <w:rsid w:val="00357612"/>
    <w:rsid w:val="0036004B"/>
    <w:rsid w:val="00386CB2"/>
    <w:rsid w:val="003878CB"/>
    <w:rsid w:val="003C1482"/>
    <w:rsid w:val="003C7014"/>
    <w:rsid w:val="00405A22"/>
    <w:rsid w:val="00457595"/>
    <w:rsid w:val="00461111"/>
    <w:rsid w:val="00483653"/>
    <w:rsid w:val="00486278"/>
    <w:rsid w:val="005530E7"/>
    <w:rsid w:val="005B5AEA"/>
    <w:rsid w:val="005B6777"/>
    <w:rsid w:val="005D688B"/>
    <w:rsid w:val="005E20F1"/>
    <w:rsid w:val="00603F5E"/>
    <w:rsid w:val="0066585C"/>
    <w:rsid w:val="006B0E2D"/>
    <w:rsid w:val="006F3DDC"/>
    <w:rsid w:val="007F0CB7"/>
    <w:rsid w:val="008049F0"/>
    <w:rsid w:val="008415C2"/>
    <w:rsid w:val="0084628D"/>
    <w:rsid w:val="008C3210"/>
    <w:rsid w:val="008C731F"/>
    <w:rsid w:val="008D45AF"/>
    <w:rsid w:val="008D5F7C"/>
    <w:rsid w:val="008E22CB"/>
    <w:rsid w:val="008E4F7A"/>
    <w:rsid w:val="00924931"/>
    <w:rsid w:val="0093062E"/>
    <w:rsid w:val="00941965"/>
    <w:rsid w:val="00951E18"/>
    <w:rsid w:val="00952436"/>
    <w:rsid w:val="0096644A"/>
    <w:rsid w:val="009C2AA1"/>
    <w:rsid w:val="009C3D2F"/>
    <w:rsid w:val="00A17DFF"/>
    <w:rsid w:val="00A27ECE"/>
    <w:rsid w:val="00A30DE5"/>
    <w:rsid w:val="00A33C33"/>
    <w:rsid w:val="00A4162B"/>
    <w:rsid w:val="00A52FCF"/>
    <w:rsid w:val="00A66796"/>
    <w:rsid w:val="00A72DAC"/>
    <w:rsid w:val="00A87806"/>
    <w:rsid w:val="00AE0B9C"/>
    <w:rsid w:val="00AE5940"/>
    <w:rsid w:val="00B03EEF"/>
    <w:rsid w:val="00B15AF1"/>
    <w:rsid w:val="00B27B53"/>
    <w:rsid w:val="00B43B71"/>
    <w:rsid w:val="00B45C14"/>
    <w:rsid w:val="00B46382"/>
    <w:rsid w:val="00B527B4"/>
    <w:rsid w:val="00B56FCC"/>
    <w:rsid w:val="00B76EB9"/>
    <w:rsid w:val="00B93EE5"/>
    <w:rsid w:val="00BB4AE8"/>
    <w:rsid w:val="00BD41B9"/>
    <w:rsid w:val="00C04DEE"/>
    <w:rsid w:val="00C11643"/>
    <w:rsid w:val="00C22300"/>
    <w:rsid w:val="00C24BAD"/>
    <w:rsid w:val="00C265E4"/>
    <w:rsid w:val="00C548DA"/>
    <w:rsid w:val="00C80679"/>
    <w:rsid w:val="00CA1262"/>
    <w:rsid w:val="00CE52AB"/>
    <w:rsid w:val="00CF2A01"/>
    <w:rsid w:val="00D024AA"/>
    <w:rsid w:val="00D07A6C"/>
    <w:rsid w:val="00D43DE9"/>
    <w:rsid w:val="00D60E53"/>
    <w:rsid w:val="00D6214F"/>
    <w:rsid w:val="00D706D8"/>
    <w:rsid w:val="00D71B35"/>
    <w:rsid w:val="00D86DE5"/>
    <w:rsid w:val="00DB0EAF"/>
    <w:rsid w:val="00DB2F26"/>
    <w:rsid w:val="00DF4EA9"/>
    <w:rsid w:val="00E251B4"/>
    <w:rsid w:val="00EA1D57"/>
    <w:rsid w:val="00EF11BF"/>
    <w:rsid w:val="00EF7494"/>
    <w:rsid w:val="00F62A60"/>
    <w:rsid w:val="00F66E01"/>
    <w:rsid w:val="00FB0CF8"/>
    <w:rsid w:val="00FD1DC4"/>
    <w:rsid w:val="00FE48DB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AD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D688B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B43B7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12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43B71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6F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3DDC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B46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46382"/>
    <w:rPr>
      <w:rFonts w:ascii="Courier New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570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492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oleObject" Target="embeddings/oleObject1.bin"/><Relationship Id="rId9" Type="http://schemas.openxmlformats.org/officeDocument/2006/relationships/image" Target="media/image3.png"/><Relationship Id="rId10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TON</c:v>
                </c:pt>
              </c:strCache>
            </c:strRef>
          </c:tx>
          <c:spPr>
            <a:ln w="9525" cap="flat" cmpd="sng" algn="ctr">
              <a:solidFill>
                <a:schemeClr val="accent1">
                  <a:alpha val="7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marker>
          <c:xVal>
            <c:numRef>
              <c:f>Φύλλο1!$A$2:$A$11</c:f>
              <c:numCache>
                <c:formatCode>General</c:formatCode>
                <c:ptCount val="1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5.0</c:v>
                </c:pt>
                <c:pt idx="4">
                  <c:v>6.0</c:v>
                </c:pt>
                <c:pt idx="5">
                  <c:v>25.0</c:v>
                </c:pt>
                <c:pt idx="6">
                  <c:v>26.0</c:v>
                </c:pt>
                <c:pt idx="7">
                  <c:v>27.0</c:v>
                </c:pt>
                <c:pt idx="8">
                  <c:v>29.0</c:v>
                </c:pt>
                <c:pt idx="9">
                  <c:v>49.0</c:v>
                </c:pt>
              </c:numCache>
            </c:numRef>
          </c:xVal>
          <c:yVal>
            <c:numRef>
              <c:f>Φύλλο1!$B$2:$B$11</c:f>
              <c:numCache>
                <c:formatCode>General</c:formatCode>
                <c:ptCount val="10"/>
                <c:pt idx="0">
                  <c:v>19.63</c:v>
                </c:pt>
                <c:pt idx="1">
                  <c:v>54.94</c:v>
                </c:pt>
                <c:pt idx="2">
                  <c:v>103.67</c:v>
                </c:pt>
                <c:pt idx="3">
                  <c:v>179.81</c:v>
                </c:pt>
                <c:pt idx="4">
                  <c:v>211.78</c:v>
                </c:pt>
                <c:pt idx="5">
                  <c:v>410.9299999999996</c:v>
                </c:pt>
                <c:pt idx="6">
                  <c:v>413.29</c:v>
                </c:pt>
                <c:pt idx="7">
                  <c:v>429.06</c:v>
                </c:pt>
                <c:pt idx="8">
                  <c:v>445.25</c:v>
                </c:pt>
                <c:pt idx="9">
                  <c:v>430.44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0CE-48C2-A420-DBD137390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8349040"/>
        <c:axId val="1978352800"/>
      </c:scatterChart>
      <c:valAx>
        <c:axId val="1978349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hr</a:t>
                </a:r>
                <a:endParaRPr lang="el-G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978352800"/>
        <c:crosses val="autoZero"/>
        <c:crossBetween val="midCat"/>
      </c:valAx>
      <c:valAx>
        <c:axId val="197835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TONCAT</a:t>
                </a:r>
                <a:endParaRPr lang="el-G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978349040"/>
        <c:crosses val="autoZero"/>
        <c:crossBetween val="midCat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>
                <a:alpha val="0"/>
              </a:schemeClr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Φύλλο1!$C$1</c:f>
              <c:strCache>
                <c:ptCount val="1"/>
                <c:pt idx="0">
                  <c:v>ml H2</c:v>
                </c:pt>
              </c:strCache>
            </c:strRef>
          </c:tx>
          <c:spPr>
            <a:ln w="9525" cap="flat" cmpd="sng" algn="ctr">
              <a:solidFill>
                <a:schemeClr val="accent1">
                  <a:alpha val="7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marker>
          <c:xVal>
            <c:numRef>
              <c:f>Φύλλο1!$A$2:$A$11</c:f>
              <c:numCache>
                <c:formatCode>General</c:formatCode>
                <c:ptCount val="10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5.0</c:v>
                </c:pt>
                <c:pt idx="4">
                  <c:v>6.0</c:v>
                </c:pt>
                <c:pt idx="5">
                  <c:v>25.0</c:v>
                </c:pt>
                <c:pt idx="6">
                  <c:v>26.0</c:v>
                </c:pt>
                <c:pt idx="7">
                  <c:v>27.0</c:v>
                </c:pt>
                <c:pt idx="8">
                  <c:v>29.0</c:v>
                </c:pt>
                <c:pt idx="9">
                  <c:v>49.0</c:v>
                </c:pt>
              </c:numCache>
            </c:numRef>
          </c:xVal>
          <c:yVal>
            <c:numRef>
              <c:f>Φύλλο1!$C$2:$C$11</c:f>
              <c:numCache>
                <c:formatCode>General</c:formatCode>
                <c:ptCount val="10"/>
                <c:pt idx="0">
                  <c:v>0.132</c:v>
                </c:pt>
                <c:pt idx="1">
                  <c:v>0.37</c:v>
                </c:pt>
                <c:pt idx="2">
                  <c:v>0.7</c:v>
                </c:pt>
                <c:pt idx="3">
                  <c:v>1.21</c:v>
                </c:pt>
                <c:pt idx="4">
                  <c:v>1.42</c:v>
                </c:pt>
                <c:pt idx="5">
                  <c:v>2.77</c:v>
                </c:pt>
                <c:pt idx="6">
                  <c:v>2.78</c:v>
                </c:pt>
                <c:pt idx="7">
                  <c:v>2.88</c:v>
                </c:pt>
                <c:pt idx="8">
                  <c:v>3.0</c:v>
                </c:pt>
                <c:pt idx="9">
                  <c:v>2.89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16C-4C1B-8362-9244FD2783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9676368"/>
        <c:axId val="1979678080"/>
      </c:scatterChart>
      <c:valAx>
        <c:axId val="1979676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979678080"/>
        <c:crosses val="autoZero"/>
        <c:crossBetween val="midCat"/>
      </c:valAx>
      <c:valAx>
        <c:axId val="197967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mL H2</a:t>
                </a:r>
                <a:endParaRPr lang="el-G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979676368"/>
        <c:crosses val="autoZero"/>
        <c:crossBetween val="midCat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>
                <a:alpha val="0"/>
              </a:schemeClr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B676-5174-B546-BB98-73A51406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1504</Words>
  <Characters>8127</Characters>
  <Application>Microsoft Macintosh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Kamatsos</dc:creator>
  <cp:lastModifiedBy>Fotis Kamatsos</cp:lastModifiedBy>
  <cp:revision>48</cp:revision>
  <dcterms:created xsi:type="dcterms:W3CDTF">2017-10-11T07:27:00Z</dcterms:created>
  <dcterms:modified xsi:type="dcterms:W3CDTF">2017-10-14T08:51:00Z</dcterms:modified>
</cp:coreProperties>
</file>