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3E" w:rsidRDefault="00EC243E" w:rsidP="00902D6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SYNTHESIS AND CHARACTERIZATION OF COPPER-BASED PHOTOSENSITIZERS FOR SOLAR ENERGY CONVERSION</w:t>
      </w:r>
    </w:p>
    <w:p w:rsidR="00EC243E" w:rsidRDefault="00EC243E" w:rsidP="00902D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Drosou</w:t>
      </w:r>
      <w:r w:rsidR="00F70EE7" w:rsidRPr="0055005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5500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5005F" w:rsidRPr="005500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George </w:t>
      </w:r>
      <w:proofErr w:type="spellStart"/>
      <w:r w:rsidR="0055005F" w:rsidRPr="0055005F">
        <w:rPr>
          <w:rFonts w:ascii="Times New Roman" w:hAnsi="Times New Roman" w:cs="Times New Roman"/>
          <w:b/>
          <w:sz w:val="24"/>
          <w:szCs w:val="24"/>
          <w:lang w:val="en-US"/>
        </w:rPr>
        <w:t>Syrrokostas</w:t>
      </w:r>
      <w:r w:rsidR="00F70EE7" w:rsidRPr="0055005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b</w:t>
      </w:r>
      <w:proofErr w:type="spellEnd"/>
      <w:r w:rsidR="005500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55005F" w:rsidRPr="005500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Sofia </w:t>
      </w:r>
      <w:proofErr w:type="spellStart"/>
      <w:r w:rsidR="0055005F" w:rsidRPr="0055005F">
        <w:rPr>
          <w:rFonts w:ascii="Times New Roman" w:hAnsi="Times New Roman" w:cs="Times New Roman"/>
          <w:b/>
          <w:sz w:val="24"/>
          <w:szCs w:val="24"/>
          <w:lang w:val="en-US"/>
        </w:rPr>
        <w:t>Stefa</w:t>
      </w:r>
      <w:r w:rsidR="00F70EE7" w:rsidRPr="0055005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b</w:t>
      </w:r>
      <w:proofErr w:type="spellEnd"/>
      <w:r w:rsidR="005500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Spyros N. </w:t>
      </w:r>
      <w:proofErr w:type="spellStart"/>
      <w:r w:rsidR="0055005F">
        <w:rPr>
          <w:rFonts w:ascii="Times New Roman" w:hAnsi="Times New Roman" w:cs="Times New Roman"/>
          <w:b/>
          <w:sz w:val="24"/>
          <w:szCs w:val="24"/>
          <w:lang w:val="en-US"/>
        </w:rPr>
        <w:t>Yannopoulos</w:t>
      </w:r>
      <w:r w:rsidR="0055005F" w:rsidRPr="0055005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b</w:t>
      </w:r>
      <w:proofErr w:type="spellEnd"/>
      <w:r w:rsidR="0055005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Christiana A.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Mitsopoulou</w:t>
      </w:r>
      <w:r w:rsidR="0055005F" w:rsidRPr="0055005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</w:p>
    <w:p w:rsidR="00EC243E" w:rsidRDefault="0055005F" w:rsidP="0055005F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5005F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 </w:t>
      </w:r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Inorganic Chemistry Laboratory, Department of Chemistry, National and </w:t>
      </w:r>
      <w:proofErr w:type="spellStart"/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>Kapodistrian</w:t>
      </w:r>
      <w:proofErr w:type="spellEnd"/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University of Athens, </w:t>
      </w:r>
      <w:proofErr w:type="spellStart"/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>Panepistimiopolis</w:t>
      </w:r>
      <w:proofErr w:type="spellEnd"/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>Zografou</w:t>
      </w:r>
      <w:proofErr w:type="spellEnd"/>
      <w:r w:rsidR="00EC24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15771, Greece</w:t>
      </w:r>
    </w:p>
    <w:p w:rsidR="0055005F" w:rsidRPr="0055005F" w:rsidRDefault="0055005F" w:rsidP="0055005F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005F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5005F">
        <w:rPr>
          <w:rFonts w:ascii="Times New Roman" w:hAnsi="Times New Roman" w:cs="Times New Roman"/>
          <w:i/>
          <w:sz w:val="24"/>
          <w:szCs w:val="24"/>
          <w:lang w:val="en-US"/>
        </w:rPr>
        <w:t>Institute of Chemical Engineering Sciences, Foundation for Research and Technology Hellas (FORTH/ICE-HT), 26504 Patras, Greece</w:t>
      </w:r>
    </w:p>
    <w:p w:rsidR="00EC243E" w:rsidRDefault="00EC243E" w:rsidP="001B3D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1B3D0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F169D" w:rsidRPr="001B3D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D0B">
        <w:rPr>
          <w:rFonts w:ascii="Times New Roman" w:hAnsi="Times New Roman" w:cs="Times New Roman"/>
          <w:sz w:val="24"/>
          <w:szCs w:val="24"/>
          <w:lang w:val="en-US"/>
        </w:rPr>
        <w:t>mits1524@gmail.com,</w:t>
      </w:r>
      <w:r w:rsidR="009F169D" w:rsidRPr="001B3D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3D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cmitsop@chem.uoa.gr</w:t>
      </w:r>
    </w:p>
    <w:p w:rsidR="00EC243E" w:rsidRPr="00EC243E" w:rsidRDefault="00EC243E" w:rsidP="00902D6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243E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8962D7" w:rsidRPr="00C154BA" w:rsidRDefault="00040EF5" w:rsidP="00902D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40EF5">
        <w:rPr>
          <w:rFonts w:ascii="Times New Roman" w:hAnsi="Times New Roman" w:cs="Times New Roman"/>
          <w:sz w:val="24"/>
          <w:szCs w:val="24"/>
          <w:lang w:val="en-US"/>
        </w:rPr>
        <w:t>World demand for energy is projected to</w:t>
      </w:r>
      <w:r w:rsidR="00BD1F7A">
        <w:rPr>
          <w:rFonts w:ascii="Times New Roman" w:hAnsi="Times New Roman" w:cs="Times New Roman"/>
          <w:sz w:val="24"/>
          <w:szCs w:val="24"/>
          <w:lang w:val="en-US"/>
        </w:rPr>
        <w:t xml:space="preserve"> nearly</w:t>
      </w:r>
      <w:r w:rsidRPr="00040EF5">
        <w:rPr>
          <w:rFonts w:ascii="Times New Roman" w:hAnsi="Times New Roman" w:cs="Times New Roman"/>
          <w:sz w:val="24"/>
          <w:szCs w:val="24"/>
          <w:lang w:val="en-US"/>
        </w:rPr>
        <w:t xml:space="preserve"> double by 2050 and to triple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end of the </w:t>
      </w:r>
      <w:r w:rsidRPr="00040EF5">
        <w:rPr>
          <w:rFonts w:ascii="Times New Roman" w:hAnsi="Times New Roman" w:cs="Times New Roman"/>
          <w:sz w:val="24"/>
          <w:szCs w:val="24"/>
          <w:lang w:val="en-US"/>
        </w:rPr>
        <w:t>century.</w:t>
      </w:r>
      <w:r w:rsidR="002F30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040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015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14FC" w:rsidRPr="003614FC">
        <w:rPr>
          <w:rFonts w:ascii="Times New Roman" w:hAnsi="Times New Roman" w:cs="Times New Roman"/>
          <w:sz w:val="24"/>
          <w:szCs w:val="24"/>
          <w:lang w:val="en-US"/>
        </w:rPr>
        <w:t xml:space="preserve">ossil fuels cannot 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 xml:space="preserve">be a long-term solution as they </w:t>
      </w:r>
      <w:r w:rsidR="003614FC" w:rsidRPr="003614FC">
        <w:rPr>
          <w:rFonts w:ascii="Times New Roman" w:hAnsi="Times New Roman" w:cs="Times New Roman"/>
          <w:sz w:val="24"/>
          <w:szCs w:val="24"/>
          <w:lang w:val="en-US"/>
        </w:rPr>
        <w:t xml:space="preserve">come from a limited stock and </w:t>
      </w:r>
      <w:r w:rsidR="00D1509F">
        <w:rPr>
          <w:rFonts w:ascii="Times New Roman" w:hAnsi="Times New Roman" w:cs="Times New Roman"/>
          <w:sz w:val="24"/>
          <w:szCs w:val="24"/>
          <w:lang w:val="en-US"/>
        </w:rPr>
        <w:t xml:space="preserve">their use </w:t>
      </w:r>
      <w:r w:rsidR="00BD1F7A">
        <w:rPr>
          <w:rFonts w:ascii="Times New Roman" w:hAnsi="Times New Roman" w:cs="Times New Roman"/>
          <w:sz w:val="24"/>
          <w:szCs w:val="24"/>
          <w:lang w:val="en-US"/>
        </w:rPr>
        <w:t xml:space="preserve">has resulted in </w:t>
      </w:r>
      <w:r w:rsidR="00BD1F7A" w:rsidRPr="00BD1F7A">
        <w:rPr>
          <w:rFonts w:ascii="Times New Roman" w:hAnsi="Times New Roman" w:cs="Times New Roman"/>
          <w:sz w:val="24"/>
          <w:szCs w:val="24"/>
          <w:lang w:val="en-US"/>
        </w:rPr>
        <w:t>numerous environmental p</w:t>
      </w:r>
      <w:r w:rsidR="00BD1F7A">
        <w:rPr>
          <w:rFonts w:ascii="Times New Roman" w:hAnsi="Times New Roman" w:cs="Times New Roman"/>
          <w:sz w:val="24"/>
          <w:szCs w:val="24"/>
          <w:lang w:val="en-US"/>
        </w:rPr>
        <w:t>roblems</w:t>
      </w:r>
      <w:r w:rsidR="00C601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54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F7A">
        <w:rPr>
          <w:rFonts w:ascii="Times New Roman" w:hAnsi="Times New Roman" w:cs="Times New Roman"/>
          <w:sz w:val="24"/>
          <w:szCs w:val="24"/>
          <w:lang w:val="en-US"/>
        </w:rPr>
        <w:t>Solar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 xml:space="preserve"> energy i</w:t>
      </w:r>
      <w:r w:rsidR="007A0EB9">
        <w:rPr>
          <w:rFonts w:ascii="Times New Roman" w:hAnsi="Times New Roman" w:cs="Times New Roman"/>
          <w:sz w:val="24"/>
          <w:szCs w:val="24"/>
          <w:lang w:val="en-US"/>
        </w:rPr>
        <w:t xml:space="preserve">s considered the most promising 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>renewable resource</w:t>
      </w:r>
      <w:r w:rsidR="007A0EB9">
        <w:rPr>
          <w:rFonts w:ascii="Times New Roman" w:hAnsi="Times New Roman" w:cs="Times New Roman"/>
          <w:sz w:val="24"/>
          <w:szCs w:val="24"/>
          <w:lang w:val="en-US"/>
        </w:rPr>
        <w:t>, since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F7A">
        <w:rPr>
          <w:rFonts w:ascii="Times New Roman" w:hAnsi="Times New Roman" w:cs="Times New Roman"/>
          <w:sz w:val="24"/>
          <w:szCs w:val="24"/>
          <w:lang w:val="en-US"/>
        </w:rPr>
        <w:t xml:space="preserve">the amount of </w:t>
      </w:r>
      <w:proofErr w:type="spellStart"/>
      <w:r w:rsidR="00BD1F7A">
        <w:rPr>
          <w:rFonts w:ascii="Times New Roman" w:hAnsi="Times New Roman" w:cs="Times New Roman"/>
          <w:sz w:val="24"/>
          <w:szCs w:val="24"/>
          <w:lang w:val="en-US"/>
        </w:rPr>
        <w:t>enengy</w:t>
      </w:r>
      <w:proofErr w:type="spellEnd"/>
      <w:r w:rsidR="00BD1F7A">
        <w:rPr>
          <w:rFonts w:ascii="Times New Roman" w:hAnsi="Times New Roman" w:cs="Times New Roman"/>
          <w:sz w:val="24"/>
          <w:szCs w:val="24"/>
          <w:lang w:val="en-US"/>
        </w:rPr>
        <w:t xml:space="preserve"> the Sun shines on the Earth every day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 xml:space="preserve"> exceeds by a factor of 10</w:t>
      </w:r>
      <w:r w:rsidR="002A3BB8" w:rsidRPr="002A3B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2A3BB8">
        <w:rPr>
          <w:rFonts w:ascii="Times New Roman" w:hAnsi="Times New Roman" w:cs="Times New Roman"/>
          <w:sz w:val="24"/>
          <w:szCs w:val="24"/>
          <w:lang w:val="en-US"/>
        </w:rPr>
        <w:t xml:space="preserve"> the present global population 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 xml:space="preserve">consumption. </w:t>
      </w:r>
      <w:r w:rsidR="007A0EB9">
        <w:rPr>
          <w:rFonts w:ascii="Times New Roman" w:hAnsi="Times New Roman" w:cs="Times New Roman"/>
          <w:sz w:val="24"/>
          <w:szCs w:val="24"/>
          <w:lang w:val="en-US"/>
        </w:rPr>
        <w:t xml:space="preserve">Consequently, 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>covering only aro</w:t>
      </w:r>
      <w:r w:rsidR="007A0EB9">
        <w:rPr>
          <w:rFonts w:ascii="Times New Roman" w:hAnsi="Times New Roman" w:cs="Times New Roman"/>
          <w:sz w:val="24"/>
          <w:szCs w:val="24"/>
          <w:lang w:val="en-US"/>
        </w:rPr>
        <w:t xml:space="preserve">und 0.1% of the Earth’s surface 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 xml:space="preserve">by means of energy conversion </w:t>
      </w:r>
      <w:r w:rsidR="007A0EB9">
        <w:rPr>
          <w:rFonts w:ascii="Times New Roman" w:hAnsi="Times New Roman" w:cs="Times New Roman"/>
          <w:sz w:val="24"/>
          <w:szCs w:val="24"/>
          <w:lang w:val="en-US"/>
        </w:rPr>
        <w:t xml:space="preserve">devices having an efficiency of </w:t>
      </w:r>
      <w:r w:rsidR="007A0EB9" w:rsidRPr="007A0EB9">
        <w:rPr>
          <w:rFonts w:ascii="Times New Roman" w:hAnsi="Times New Roman" w:cs="Times New Roman"/>
          <w:sz w:val="24"/>
          <w:szCs w:val="24"/>
          <w:lang w:val="en-US"/>
        </w:rPr>
        <w:t>about 10% would satisfy the present global energy needs</w:t>
      </w:r>
      <w:r w:rsidR="007A0E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54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CD0">
        <w:rPr>
          <w:rFonts w:ascii="Times New Roman" w:hAnsi="Times New Roman" w:cs="Times New Roman"/>
          <w:sz w:val="24"/>
          <w:szCs w:val="24"/>
          <w:lang w:val="en-US"/>
        </w:rPr>
        <w:t>Therefore,  technologies that</w:t>
      </w:r>
      <w:r w:rsidR="00D1509F" w:rsidRPr="00D1509F">
        <w:rPr>
          <w:rFonts w:ascii="Times New Roman" w:hAnsi="Times New Roman" w:cs="Times New Roman"/>
          <w:sz w:val="24"/>
          <w:szCs w:val="24"/>
          <w:lang w:val="en-US"/>
        </w:rPr>
        <w:t xml:space="preserve"> collect </w:t>
      </w:r>
      <w:r w:rsidR="00347D8F">
        <w:rPr>
          <w:rFonts w:ascii="Times New Roman" w:hAnsi="Times New Roman" w:cs="Times New Roman"/>
          <w:sz w:val="24"/>
          <w:szCs w:val="24"/>
          <w:lang w:val="en-US"/>
        </w:rPr>
        <w:t>solar energy</w:t>
      </w:r>
      <w:r w:rsidR="00D1509F" w:rsidRPr="00D1509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1509F">
        <w:rPr>
          <w:rFonts w:ascii="Times New Roman" w:hAnsi="Times New Roman" w:cs="Times New Roman"/>
          <w:sz w:val="24"/>
          <w:szCs w:val="24"/>
          <w:lang w:val="en-US"/>
        </w:rPr>
        <w:t xml:space="preserve">convert it into usable forms of </w:t>
      </w:r>
      <w:r w:rsidR="00D1509F" w:rsidRPr="00D1509F">
        <w:rPr>
          <w:rFonts w:ascii="Times New Roman" w:hAnsi="Times New Roman" w:cs="Times New Roman"/>
          <w:sz w:val="24"/>
          <w:szCs w:val="24"/>
          <w:lang w:val="en-US"/>
        </w:rPr>
        <w:t>energy, such as electrical ene</w:t>
      </w:r>
      <w:r w:rsidR="00D1509F">
        <w:rPr>
          <w:rFonts w:ascii="Times New Roman" w:hAnsi="Times New Roman" w:cs="Times New Roman"/>
          <w:sz w:val="24"/>
          <w:szCs w:val="24"/>
          <w:lang w:val="en-US"/>
        </w:rPr>
        <w:t xml:space="preserve">rgy (photovoltaics) or chemical </w:t>
      </w:r>
      <w:r w:rsidR="005624CC">
        <w:rPr>
          <w:rFonts w:ascii="Times New Roman" w:hAnsi="Times New Roman" w:cs="Times New Roman"/>
          <w:sz w:val="24"/>
          <w:szCs w:val="24"/>
          <w:lang w:val="en-US"/>
        </w:rPr>
        <w:t xml:space="preserve">energy (‘‘solar fuels’’) attract </w:t>
      </w:r>
      <w:r w:rsidR="005624CC" w:rsidRPr="005624CC">
        <w:rPr>
          <w:rFonts w:ascii="Times New Roman" w:hAnsi="Times New Roman" w:cs="Times New Roman"/>
          <w:sz w:val="24"/>
          <w:szCs w:val="24"/>
          <w:lang w:val="en-US"/>
        </w:rPr>
        <w:t>intensive research interest</w:t>
      </w:r>
      <w:r w:rsidR="005624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54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4,5</w:t>
      </w:r>
    </w:p>
    <w:p w:rsidR="00DE63AF" w:rsidRPr="00A87045" w:rsidRDefault="00271388" w:rsidP="002713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>he dye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>sensitized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 xml:space="preserve"> solar cell (DS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>, f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irstly assembled and demonstrated by </w:t>
      </w:r>
      <w:proofErr w:type="spellStart"/>
      <w:r w:rsidRPr="00271388">
        <w:rPr>
          <w:rFonts w:ascii="Times New Roman" w:hAnsi="Times New Roman" w:cs="Times New Roman"/>
          <w:sz w:val="24"/>
          <w:szCs w:val="24"/>
          <w:lang w:val="en-US"/>
        </w:rPr>
        <w:t>O’Regan</w:t>
      </w:r>
      <w:proofErr w:type="spellEnd"/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71388">
        <w:rPr>
          <w:rFonts w:ascii="Times New Roman" w:hAnsi="Times New Roman" w:cs="Times New Roman"/>
          <w:sz w:val="24"/>
          <w:szCs w:val="24"/>
          <w:lang w:val="en-US"/>
        </w:rPr>
        <w:t>Gr</w:t>
      </w:r>
      <w:r>
        <w:rPr>
          <w:rFonts w:ascii="Times New Roman" w:hAnsi="Times New Roman" w:cs="Times New Roman"/>
          <w:sz w:val="24"/>
          <w:szCs w:val="24"/>
          <w:lang w:val="en-US"/>
        </w:rPr>
        <w:t>ätzel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1991,</w:t>
      </w:r>
      <w:r w:rsidR="00A87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>a 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cost 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>and high efficiency solar energy-to-electricity converter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 is based on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3AF">
        <w:rPr>
          <w:rFonts w:ascii="Times New Roman" w:hAnsi="Times New Roman" w:cs="Times New Roman"/>
          <w:sz w:val="24"/>
          <w:szCs w:val="24"/>
          <w:lang w:val="en-US"/>
        </w:rPr>
        <w:t>immobiliz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E6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3AF" w:rsidRPr="00040EF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E63AF">
        <w:rPr>
          <w:rFonts w:ascii="Times New Roman" w:hAnsi="Times New Roman" w:cs="Times New Roman"/>
          <w:sz w:val="24"/>
          <w:szCs w:val="24"/>
          <w:lang w:val="en-US"/>
        </w:rPr>
        <w:t>dye (or sensitizer) on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 semiconductor 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C37E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7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7EDF">
        <w:rPr>
          <w:rFonts w:ascii="Times New Roman" w:hAnsi="Times New Roman" w:cs="Times New Roman"/>
          <w:sz w:val="24"/>
          <w:szCs w:val="24"/>
          <w:lang w:val="en-US"/>
        </w:rPr>
        <w:t xml:space="preserve">Upon light absorption, the sensitizer excited-state </w:t>
      </w:r>
      <w:r w:rsidR="00C37EDF" w:rsidRPr="00C37EDF">
        <w:rPr>
          <w:rFonts w:ascii="Times New Roman" w:hAnsi="Times New Roman" w:cs="Times New Roman"/>
          <w:sz w:val="24"/>
          <w:szCs w:val="24"/>
          <w:lang w:val="en-US"/>
        </w:rPr>
        <w:t>(S*) promotes electron injection into the conducti</w:t>
      </w:r>
      <w:r w:rsidR="00C37ED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37EDF" w:rsidRPr="00C37EDF">
        <w:rPr>
          <w:rFonts w:ascii="Times New Roman" w:hAnsi="Times New Roman" w:cs="Times New Roman"/>
          <w:sz w:val="24"/>
          <w:szCs w:val="24"/>
          <w:lang w:val="en-US"/>
        </w:rPr>
        <w:t>band (CB) of the semiconductor</w:t>
      </w:r>
      <w:r w:rsidR="00C37E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7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C37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To regenerate the 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>ground state of the dye, an e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lectron is transferred from the 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>electrolyte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, which comprises a redox couple, to the dye. </w:t>
      </w:r>
      <w:r w:rsidR="00C37E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he electrical circuit 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>is completed by re</w:t>
      </w:r>
      <w:r w:rsidR="00040EF5">
        <w:rPr>
          <w:rFonts w:ascii="Times New Roman" w:hAnsi="Times New Roman" w:cs="Times New Roman"/>
          <w:sz w:val="24"/>
          <w:szCs w:val="24"/>
          <w:lang w:val="en-US"/>
        </w:rPr>
        <w:t xml:space="preserve">duction of the electrolyte at a </w:t>
      </w:r>
      <w:r w:rsidR="00040EF5" w:rsidRPr="00040EF5">
        <w:rPr>
          <w:rFonts w:ascii="Times New Roman" w:hAnsi="Times New Roman" w:cs="Times New Roman"/>
          <w:sz w:val="24"/>
          <w:szCs w:val="24"/>
          <w:lang w:val="en-US"/>
        </w:rPr>
        <w:t>platinized counter-electrode.</w:t>
      </w:r>
      <w:r w:rsidR="00A87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8962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3AF" w:rsidRPr="008962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62D7" w:rsidRPr="008962D7">
        <w:rPr>
          <w:rFonts w:ascii="Times New Roman" w:hAnsi="Times New Roman" w:cs="Times New Roman"/>
          <w:sz w:val="24"/>
          <w:szCs w:val="24"/>
          <w:lang w:val="en-US"/>
        </w:rPr>
        <w:t>mmobilization</w:t>
      </w:r>
      <w:r w:rsidR="00DE63AF">
        <w:rPr>
          <w:rFonts w:ascii="Times New Roman" w:hAnsi="Times New Roman" w:cs="Times New Roman"/>
          <w:sz w:val="24"/>
          <w:szCs w:val="24"/>
          <w:lang w:val="en-US"/>
        </w:rPr>
        <w:t xml:space="preserve"> of the dye to a semiconductor</w:t>
      </w:r>
      <w:r w:rsidR="008962D7" w:rsidRPr="008962D7">
        <w:rPr>
          <w:rFonts w:ascii="Times New Roman" w:hAnsi="Times New Roman" w:cs="Times New Roman"/>
          <w:sz w:val="24"/>
          <w:szCs w:val="24"/>
          <w:lang w:val="en-US"/>
        </w:rPr>
        <w:t xml:space="preserve"> is usually achieved by addition of an ‘an</w:t>
      </w:r>
      <w:r w:rsidR="008962D7">
        <w:rPr>
          <w:rFonts w:ascii="Times New Roman" w:hAnsi="Times New Roman" w:cs="Times New Roman"/>
          <w:sz w:val="24"/>
          <w:szCs w:val="24"/>
          <w:lang w:val="en-US"/>
        </w:rPr>
        <w:t xml:space="preserve">choring group’, i.e. a chemical </w:t>
      </w:r>
      <w:r w:rsidR="008962D7" w:rsidRPr="008962D7">
        <w:rPr>
          <w:rFonts w:ascii="Times New Roman" w:hAnsi="Times New Roman" w:cs="Times New Roman"/>
          <w:sz w:val="24"/>
          <w:szCs w:val="24"/>
          <w:lang w:val="en-US"/>
        </w:rPr>
        <w:t>substituent able to adsorb the dye molecule onto the surface of the metal oxide</w:t>
      </w:r>
      <w:r w:rsidR="001D3662">
        <w:rPr>
          <w:rFonts w:ascii="Times New Roman" w:hAnsi="Times New Roman" w:cs="Times New Roman"/>
          <w:sz w:val="24"/>
          <w:szCs w:val="24"/>
          <w:lang w:val="en-US"/>
        </w:rPr>
        <w:t xml:space="preserve"> and creates an </w:t>
      </w:r>
      <w:r w:rsidR="001D3662" w:rsidRPr="001D3662">
        <w:rPr>
          <w:rFonts w:ascii="Times New Roman" w:hAnsi="Times New Roman" w:cs="Times New Roman"/>
          <w:sz w:val="24"/>
          <w:szCs w:val="24"/>
          <w:lang w:val="en-US"/>
        </w:rPr>
        <w:t>interfacial path by which electrons can be transferred from the</w:t>
      </w:r>
      <w:r w:rsidR="001D36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662" w:rsidRPr="001D3662">
        <w:rPr>
          <w:rFonts w:ascii="Times New Roman" w:hAnsi="Times New Roman" w:cs="Times New Roman"/>
          <w:sz w:val="24"/>
          <w:szCs w:val="24"/>
          <w:lang w:val="en-US"/>
        </w:rPr>
        <w:t>dye to the semiconductor</w:t>
      </w:r>
      <w:r w:rsidR="008962D7" w:rsidRPr="008962D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7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</w:p>
    <w:p w:rsidR="00A51A8F" w:rsidRDefault="00FC39DD" w:rsidP="00FC39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conventional </w:t>
      </w:r>
      <w:r w:rsidR="009F1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39DD">
        <w:rPr>
          <w:rFonts w:ascii="Times New Roman" w:hAnsi="Times New Roman" w:cs="Times New Roman"/>
          <w:sz w:val="24"/>
          <w:szCs w:val="24"/>
          <w:lang w:val="en-US"/>
        </w:rPr>
        <w:t>Gr</w:t>
      </w:r>
      <w:r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>tzel</w:t>
      </w:r>
      <w:proofErr w:type="spellEnd"/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n-type DS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>Cs, the sensitizers are ruthenium(II)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complexes.</w:t>
      </w:r>
      <w:r w:rsidR="00A87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4FC" w:rsidRPr="003614FC">
        <w:rPr>
          <w:rFonts w:ascii="Times New Roman" w:hAnsi="Times New Roman" w:cs="Times New Roman"/>
          <w:sz w:val="24"/>
          <w:szCs w:val="24"/>
          <w:lang w:val="en-US"/>
        </w:rPr>
        <w:t>The high cost and low abundance of ruthenium,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4FC" w:rsidRPr="003614FC">
        <w:rPr>
          <w:rFonts w:ascii="Times New Roman" w:hAnsi="Times New Roman" w:cs="Times New Roman"/>
          <w:sz w:val="24"/>
          <w:szCs w:val="24"/>
          <w:lang w:val="en-US"/>
        </w:rPr>
        <w:t>however, inhibit applicatio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 xml:space="preserve">ns of ruthenium dye-based DSSCs </w:t>
      </w:r>
      <w:r w:rsidR="003614FC" w:rsidRPr="003614FC">
        <w:rPr>
          <w:rFonts w:ascii="Times New Roman" w:hAnsi="Times New Roman" w:cs="Times New Roman"/>
          <w:sz w:val="24"/>
          <w:szCs w:val="24"/>
          <w:lang w:val="en-US"/>
        </w:rPr>
        <w:t>on a large scale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E99" w:rsidRPr="00407E99">
        <w:rPr>
          <w:rFonts w:ascii="Times New Roman" w:hAnsi="Times New Roman" w:cs="Times New Roman"/>
          <w:sz w:val="24"/>
          <w:szCs w:val="24"/>
          <w:lang w:val="en-US"/>
        </w:rPr>
        <w:t xml:space="preserve">Complexes of copper(I) 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 xml:space="preserve">are considered to be viable, low-cost, earth </w:t>
      </w:r>
      <w:r w:rsidR="00407E99" w:rsidRPr="00407E99">
        <w:rPr>
          <w:rFonts w:ascii="Times New Roman" w:hAnsi="Times New Roman" w:cs="Times New Roman"/>
          <w:sz w:val="24"/>
          <w:szCs w:val="24"/>
          <w:lang w:val="en-US"/>
        </w:rPr>
        <w:t>abundant alternative photosensitizers in solar energy conversion technologies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00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12,13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Here, we report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 the synthesis and characterization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C63" w:rsidRPr="00D161EC">
        <w:rPr>
          <w:rFonts w:ascii="Times New Roman" w:hAnsi="Times New Roman" w:cs="Times New Roman"/>
          <w:sz w:val="24"/>
          <w:szCs w:val="24"/>
          <w:lang w:val="en-US"/>
        </w:rPr>
        <w:t xml:space="preserve">of a </w:t>
      </w:r>
      <w:proofErr w:type="spellStart"/>
      <w:r w:rsidR="00534C63" w:rsidRPr="00D161EC">
        <w:rPr>
          <w:rFonts w:ascii="Times New Roman" w:hAnsi="Times New Roman" w:cs="Times New Roman"/>
          <w:sz w:val="24"/>
          <w:szCs w:val="24"/>
          <w:lang w:val="en-US"/>
        </w:rPr>
        <w:t>homoleptic</w:t>
      </w:r>
      <w:proofErr w:type="spellEnd"/>
      <w:r w:rsidR="00534C63" w:rsidRPr="00D161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>[(Cu(NN-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="00534C63" w:rsidRPr="004E42C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Na)</w:t>
      </w:r>
      <w:r w:rsidR="00534C63" w:rsidRPr="004E42C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4C63" w:rsidRPr="00D161E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34C63" w:rsidRPr="004E42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and an </w:t>
      </w:r>
      <w:proofErr w:type="spellStart"/>
      <w:r w:rsidR="00534C63">
        <w:rPr>
          <w:rFonts w:ascii="Times New Roman" w:hAnsi="Times New Roman" w:cs="Times New Roman"/>
          <w:sz w:val="24"/>
          <w:szCs w:val="24"/>
          <w:lang w:val="en-US"/>
        </w:rPr>
        <w:t>heteroleptic</w:t>
      </w:r>
      <w:proofErr w:type="spellEnd"/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 [(Cu(PP)(NN-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="00534C63" w:rsidRPr="004E42C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Na)</w:t>
      </w:r>
      <w:r w:rsidR="00534C63" w:rsidRPr="004E42C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)]</w:t>
      </w:r>
      <w:r w:rsidR="00534C63" w:rsidRPr="004E42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photosensitizer </w:t>
      </w:r>
      <w:r w:rsidR="00534C63" w:rsidRPr="004E42C7">
        <w:rPr>
          <w:rFonts w:ascii="Times New Roman" w:hAnsi="Times New Roman" w:cs="Times New Roman"/>
          <w:sz w:val="24"/>
          <w:szCs w:val="24"/>
          <w:lang w:val="en-US"/>
        </w:rPr>
        <w:t>bearing sulfonate anch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or groups and their </w:t>
      </w:r>
      <w:r w:rsidR="005330A1">
        <w:rPr>
          <w:rFonts w:ascii="Times New Roman" w:hAnsi="Times New Roman" w:cs="Times New Roman"/>
          <w:sz w:val="24"/>
          <w:szCs w:val="24"/>
          <w:lang w:val="en-US"/>
        </w:rPr>
        <w:t>adsorption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5330A1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534C63">
        <w:rPr>
          <w:rFonts w:ascii="Times New Roman" w:hAnsi="Times New Roman" w:cs="Times New Roman"/>
          <w:sz w:val="24"/>
          <w:szCs w:val="24"/>
          <w:lang w:val="en-US"/>
        </w:rPr>
        <w:t>titania</w:t>
      </w:r>
      <w:proofErr w:type="spellEnd"/>
      <w:r w:rsidR="00534C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C243E" w:rsidRDefault="00EC243E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243E">
        <w:rPr>
          <w:rFonts w:ascii="Times New Roman" w:hAnsi="Times New Roman" w:cs="Times New Roman"/>
          <w:b/>
          <w:sz w:val="24"/>
          <w:szCs w:val="24"/>
          <w:lang w:val="en-US"/>
        </w:rPr>
        <w:t>Experimental Part</w:t>
      </w:r>
    </w:p>
    <w:p w:rsidR="00D06088" w:rsidRDefault="000642DA" w:rsidP="00902D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Synthes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F169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2CC4">
        <w:rPr>
          <w:rFonts w:ascii="Times New Roman" w:hAnsi="Times New Roman" w:cs="Times New Roman"/>
          <w:sz w:val="24"/>
          <w:szCs w:val="24"/>
          <w:lang w:val="en-US"/>
        </w:rPr>
        <w:t>[Cu</w:t>
      </w:r>
      <w:r w:rsidR="00D0608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D06088">
        <w:rPr>
          <w:rFonts w:ascii="Times New Roman" w:hAnsi="Times New Roman" w:cs="Times New Roman"/>
          <w:sz w:val="24"/>
          <w:szCs w:val="24"/>
          <w:lang w:val="en-US"/>
        </w:rPr>
        <w:t>bathocuproinedisulfonic</w:t>
      </w:r>
      <w:proofErr w:type="spellEnd"/>
      <w:r w:rsidR="00D06088">
        <w:rPr>
          <w:rFonts w:ascii="Times New Roman" w:hAnsi="Times New Roman" w:cs="Times New Roman"/>
          <w:sz w:val="24"/>
          <w:szCs w:val="24"/>
          <w:lang w:val="en-US"/>
        </w:rPr>
        <w:t xml:space="preserve"> acid disodium salt)</w:t>
      </w:r>
      <w:r w:rsidR="000C098D" w:rsidRPr="00F72C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C098D">
        <w:rPr>
          <w:rFonts w:ascii="Times New Roman" w:hAnsi="Times New Roman" w:cs="Times New Roman"/>
          <w:sz w:val="24"/>
          <w:szCs w:val="24"/>
          <w:lang w:val="en-US"/>
        </w:rPr>
        <w:t>](BF</w:t>
      </w:r>
      <w:r w:rsidR="000C098D" w:rsidRPr="000C098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F72C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2CC4" w:rsidRPr="003F0774">
        <w:rPr>
          <w:rFonts w:ascii="Times New Roman" w:hAnsi="Times New Roman" w:cs="Times New Roman"/>
          <w:b/>
          <w:sz w:val="24"/>
          <w:szCs w:val="24"/>
          <w:lang w:val="en-US"/>
        </w:rPr>
        <w:t>(1)</w:t>
      </w:r>
      <w:r w:rsidR="00F72C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>[Cu(</w:t>
      </w:r>
      <w:proofErr w:type="spellStart"/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>MeCN</w:t>
      </w:r>
      <w:proofErr w:type="spellEnd"/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905AC" w:rsidRPr="00E266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>BF</w:t>
      </w:r>
      <w:r w:rsidR="002905AC" w:rsidRPr="000C098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>BCDS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 xml:space="preserve">2.0 equivalents 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were stirred in 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 xml:space="preserve">dried </w:t>
      </w:r>
      <w:r w:rsidR="002905AC" w:rsidRPr="002905AC">
        <w:rPr>
          <w:rFonts w:ascii="Times New Roman" w:hAnsi="Times New Roman" w:cs="Times New Roman"/>
          <w:sz w:val="24"/>
          <w:szCs w:val="24"/>
          <w:lang w:val="en-US"/>
        </w:rPr>
        <w:t>and thoroughly degassed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5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905AC" w:rsidRPr="002905AC">
        <w:rPr>
          <w:rFonts w:ascii="Times New Roman" w:hAnsi="Times New Roman" w:cs="Times New Roman"/>
          <w:sz w:val="24"/>
          <w:szCs w:val="24"/>
          <w:lang w:val="en-US"/>
        </w:rPr>
        <w:t>imethylformamide</w:t>
      </w:r>
      <w:proofErr w:type="spellEnd"/>
      <w:r w:rsidR="00290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at room temperature for 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>24 h</w:t>
      </w:r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under an </w:t>
      </w:r>
      <w:proofErr w:type="spellStart"/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2905AC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atmosphere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36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36E6" w:rsidRPr="004336E6">
        <w:rPr>
          <w:rFonts w:ascii="Times New Roman" w:hAnsi="Times New Roman" w:cs="Times New Roman"/>
          <w:sz w:val="24"/>
          <w:szCs w:val="24"/>
          <w:lang w:val="en-US"/>
        </w:rPr>
        <w:lastRenderedPageBreak/>
        <w:t>The solvent was</w:t>
      </w:r>
      <w:r w:rsidR="004336E6">
        <w:rPr>
          <w:rFonts w:ascii="Times New Roman" w:hAnsi="Times New Roman" w:cs="Times New Roman"/>
          <w:sz w:val="24"/>
          <w:szCs w:val="24"/>
          <w:lang w:val="en-US"/>
        </w:rPr>
        <w:t xml:space="preserve"> then removed under reduced pressure </w:t>
      </w:r>
      <w:r w:rsidR="004336E6" w:rsidRPr="004336E6">
        <w:rPr>
          <w:rFonts w:ascii="Times New Roman" w:hAnsi="Times New Roman" w:cs="Times New Roman"/>
          <w:sz w:val="24"/>
          <w:szCs w:val="24"/>
          <w:lang w:val="en-US"/>
        </w:rPr>
        <w:t>and the resulting dark red solid was</w:t>
      </w:r>
      <w:r w:rsidR="004336E6">
        <w:rPr>
          <w:rFonts w:ascii="Times New Roman" w:hAnsi="Times New Roman" w:cs="Times New Roman"/>
          <w:sz w:val="24"/>
          <w:szCs w:val="24"/>
          <w:lang w:val="en-US"/>
        </w:rPr>
        <w:t xml:space="preserve"> washed with acetonitrile.</w:t>
      </w:r>
    </w:p>
    <w:p w:rsidR="00F72CC4" w:rsidRDefault="00F72CC4" w:rsidP="00902D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[Cu(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bathocuproinedisulfonic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acid disodium salt)(1,2 </w:t>
      </w:r>
      <w:proofErr w:type="spellStart"/>
      <w:r w:rsidRPr="00F72CC4">
        <w:rPr>
          <w:rFonts w:ascii="Times New Roman" w:hAnsi="Times New Roman" w:cs="Times New Roman"/>
          <w:sz w:val="24"/>
          <w:szCs w:val="24"/>
          <w:lang w:val="en-US"/>
        </w:rPr>
        <w:t>Bis</w:t>
      </w:r>
      <w:proofErr w:type="spellEnd"/>
      <w:r w:rsidRPr="00F72C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72CC4">
        <w:rPr>
          <w:rFonts w:ascii="Times New Roman" w:hAnsi="Times New Roman" w:cs="Times New Roman"/>
          <w:sz w:val="24"/>
          <w:szCs w:val="24"/>
          <w:lang w:val="en-US"/>
        </w:rPr>
        <w:t>diphenylphosphino</w:t>
      </w:r>
      <w:proofErr w:type="spellEnd"/>
      <w:r w:rsidRPr="00F72CC4">
        <w:rPr>
          <w:rFonts w:ascii="Times New Roman" w:hAnsi="Times New Roman" w:cs="Times New Roman"/>
          <w:sz w:val="24"/>
          <w:szCs w:val="24"/>
          <w:lang w:val="en-US"/>
        </w:rPr>
        <w:t>)ethane</w:t>
      </w:r>
      <w:r>
        <w:rPr>
          <w:rFonts w:ascii="Times New Roman" w:hAnsi="Times New Roman" w:cs="Times New Roman"/>
          <w:sz w:val="24"/>
          <w:szCs w:val="24"/>
          <w:lang w:val="en-US"/>
        </w:rPr>
        <w:t>)] (BF</w:t>
      </w:r>
      <w:r w:rsidRPr="000C098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72C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0774">
        <w:rPr>
          <w:rFonts w:ascii="Times New Roman" w:hAnsi="Times New Roman" w:cs="Times New Roman"/>
          <w:b/>
          <w:sz w:val="24"/>
          <w:szCs w:val="24"/>
          <w:lang w:val="en-US"/>
        </w:rPr>
        <w:t>(2)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>[Cu(</w:t>
      </w:r>
      <w:proofErr w:type="spellStart"/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>MeCN</w:t>
      </w:r>
      <w:proofErr w:type="spellEnd"/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266D3" w:rsidRPr="00E266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E266D3">
        <w:rPr>
          <w:rFonts w:ascii="Times New Roman" w:hAnsi="Times New Roman" w:cs="Times New Roman"/>
          <w:sz w:val="24"/>
          <w:szCs w:val="24"/>
          <w:lang w:val="en-US"/>
        </w:rPr>
        <w:t>BF</w:t>
      </w:r>
      <w:r w:rsidR="00E266D3" w:rsidRPr="000C098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66D3">
        <w:rPr>
          <w:rFonts w:ascii="Times New Roman" w:hAnsi="Times New Roman" w:cs="Times New Roman"/>
          <w:sz w:val="24"/>
          <w:szCs w:val="24"/>
          <w:lang w:val="en-US"/>
        </w:rPr>
        <w:t>dppe</w:t>
      </w:r>
      <w:proofErr w:type="spellEnd"/>
      <w:r w:rsidR="00A20E9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>1.0 equivalent</w:t>
      </w:r>
      <w:r w:rsidR="00A20E96" w:rsidRPr="00A20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of BCDS</w:t>
      </w:r>
      <w:r w:rsidR="00E266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were stirred in 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>dried</w:t>
      </w:r>
      <w:r w:rsidR="00E266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5AC" w:rsidRPr="002905AC">
        <w:rPr>
          <w:rFonts w:ascii="Times New Roman" w:hAnsi="Times New Roman" w:cs="Times New Roman"/>
          <w:sz w:val="24"/>
          <w:szCs w:val="24"/>
          <w:lang w:val="en-US"/>
        </w:rPr>
        <w:t>and thoroughly degassed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5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905AC" w:rsidRPr="002905AC">
        <w:rPr>
          <w:rFonts w:ascii="Times New Roman" w:hAnsi="Times New Roman" w:cs="Times New Roman"/>
          <w:sz w:val="24"/>
          <w:szCs w:val="24"/>
          <w:lang w:val="en-US"/>
        </w:rPr>
        <w:t>imethylformamide</w:t>
      </w:r>
      <w:proofErr w:type="spellEnd"/>
      <w:r w:rsidR="00E266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at room temperature for 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under an </w:t>
      </w:r>
      <w:proofErr w:type="spellStart"/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E266D3" w:rsidRPr="00E266D3">
        <w:rPr>
          <w:rFonts w:ascii="Times New Roman" w:hAnsi="Times New Roman" w:cs="Times New Roman"/>
          <w:sz w:val="24"/>
          <w:szCs w:val="24"/>
          <w:lang w:val="en-US"/>
        </w:rPr>
        <w:t xml:space="preserve"> atmosphere</w:t>
      </w:r>
      <w:r w:rsidR="00A20E96" w:rsidRPr="00A20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E96" w:rsidRPr="00946298">
        <w:rPr>
          <w:rFonts w:ascii="Times New Roman" w:hAnsi="Times New Roman" w:cs="Times New Roman"/>
          <w:sz w:val="24"/>
          <w:szCs w:val="24"/>
          <w:lang w:val="en-US"/>
        </w:rPr>
        <w:t>at room te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mperature</w:t>
      </w:r>
      <w:r w:rsidR="002905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336E6" w:rsidRPr="004336E6">
        <w:rPr>
          <w:rFonts w:ascii="Times New Roman" w:hAnsi="Times New Roman" w:cs="Times New Roman"/>
          <w:sz w:val="24"/>
          <w:szCs w:val="24"/>
          <w:lang w:val="en-US"/>
        </w:rPr>
        <w:t>The solvent was</w:t>
      </w:r>
      <w:r w:rsidR="004336E6">
        <w:rPr>
          <w:rFonts w:ascii="Times New Roman" w:hAnsi="Times New Roman" w:cs="Times New Roman"/>
          <w:sz w:val="24"/>
          <w:szCs w:val="24"/>
          <w:lang w:val="en-US"/>
        </w:rPr>
        <w:t xml:space="preserve"> then removed under reduced pressure and the 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 xml:space="preserve">deep red </w:t>
      </w:r>
      <w:r w:rsidR="004336E6">
        <w:rPr>
          <w:rFonts w:ascii="Times New Roman" w:hAnsi="Times New Roman" w:cs="Times New Roman"/>
          <w:sz w:val="24"/>
          <w:szCs w:val="24"/>
          <w:lang w:val="en-US"/>
        </w:rPr>
        <w:t>resulting solid was washed with water and acetonitrile.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376"/>
      </w:tblGrid>
      <w:tr w:rsidR="00DC7D98" w:rsidTr="0012497D">
        <w:trPr>
          <w:trHeight w:val="3172"/>
          <w:jc w:val="center"/>
        </w:trPr>
        <w:tc>
          <w:tcPr>
            <w:tcW w:w="3376" w:type="dxa"/>
            <w:vAlign w:val="center"/>
          </w:tcPr>
          <w:p w:rsidR="00DC7D98" w:rsidRDefault="00DC7D98" w:rsidP="00902D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3FC7DFF" wp14:editId="187A7DF9">
                  <wp:extent cx="1466490" cy="1929249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557" cy="192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center"/>
          </w:tcPr>
          <w:p w:rsidR="00DC7D98" w:rsidRDefault="00DC7D98" w:rsidP="00902D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2E3F873C" wp14:editId="5633D11A">
                  <wp:extent cx="1608204" cy="16586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133" cy="166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D98" w:rsidTr="0012497D">
        <w:trPr>
          <w:trHeight w:val="381"/>
          <w:jc w:val="center"/>
        </w:trPr>
        <w:tc>
          <w:tcPr>
            <w:tcW w:w="3376" w:type="dxa"/>
            <w:vAlign w:val="center"/>
          </w:tcPr>
          <w:p w:rsidR="00DC7D98" w:rsidRDefault="00DC7D98" w:rsidP="00902D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[Cu(BCDS)</w:t>
            </w:r>
            <w:r w:rsidRPr="00DC7D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C7D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  <w:p w:rsidR="00DC7D98" w:rsidRDefault="00DC7D98" w:rsidP="00902D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  <w:tc>
          <w:tcPr>
            <w:tcW w:w="3376" w:type="dxa"/>
            <w:vAlign w:val="center"/>
          </w:tcPr>
          <w:p w:rsidR="00DC7D98" w:rsidRDefault="00DC7D98" w:rsidP="00902D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[Cu(BCDS)(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)]</w:t>
            </w:r>
            <w:r w:rsidRPr="00DC7D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  <w:p w:rsidR="00DC7D98" w:rsidRDefault="00DC7D98" w:rsidP="00902D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</w:t>
            </w:r>
          </w:p>
        </w:tc>
      </w:tr>
    </w:tbl>
    <w:p w:rsidR="00DC7D98" w:rsidRDefault="00C60158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t>Figure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Structures of complexes </w:t>
      </w:r>
      <w:r w:rsidRPr="00C6015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6015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EC243E" w:rsidRDefault="00EC243E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243E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9341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9341D3" w:rsidRPr="00EC243E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:rsidR="00A16950" w:rsidRPr="003721CD" w:rsidRDefault="00A16950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721CD">
        <w:rPr>
          <w:rFonts w:ascii="Times New Roman" w:hAnsi="Times New Roman" w:cs="Times New Roman"/>
          <w:b/>
          <w:sz w:val="24"/>
          <w:szCs w:val="24"/>
          <w:lang w:val="en-US"/>
        </w:rPr>
        <w:t>Photophysical</w:t>
      </w:r>
      <w:proofErr w:type="spellEnd"/>
      <w:r w:rsidRPr="003721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0DB6" w:rsidRPr="003721CD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721CD">
        <w:rPr>
          <w:rFonts w:ascii="Times New Roman" w:hAnsi="Times New Roman" w:cs="Times New Roman"/>
          <w:b/>
          <w:sz w:val="24"/>
          <w:szCs w:val="24"/>
          <w:lang w:val="en-US"/>
        </w:rPr>
        <w:t>roperties</w:t>
      </w:r>
    </w:p>
    <w:p w:rsidR="003721CD" w:rsidRDefault="003721CD" w:rsidP="00902D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absorption spectrum of complexes </w:t>
      </w:r>
      <w:r w:rsidRPr="003721C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721C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 presented in Fig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respectively. The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>intense absorption feature a</w:t>
      </w:r>
      <w:r>
        <w:rPr>
          <w:rFonts w:ascii="Times New Roman" w:hAnsi="Times New Roman" w:cs="Times New Roman"/>
          <w:sz w:val="24"/>
          <w:szCs w:val="24"/>
          <w:lang w:val="en-US"/>
        </w:rPr>
        <w:t>round 2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 nm is assigned to the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π−π* transitions of the </w:t>
      </w:r>
      <w:proofErr w:type="spellStart"/>
      <w:r w:rsidRPr="003721CD">
        <w:rPr>
          <w:rFonts w:ascii="Times New Roman" w:hAnsi="Times New Roman" w:cs="Times New Roman"/>
          <w:sz w:val="24"/>
          <w:szCs w:val="24"/>
          <w:lang w:val="en-US"/>
        </w:rPr>
        <w:t>phenanthroline</w:t>
      </w:r>
      <w:proofErr w:type="spellEnd"/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 ligand. The metal-to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-ligand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charge transfer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(MLCT) absorption dominates the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>visible region of the spectrum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with a maximum of </w:t>
      </w:r>
      <w:r w:rsidR="00A96D58">
        <w:rPr>
          <w:rFonts w:ascii="Times New Roman" w:hAnsi="Times New Roman" w:cs="Times New Roman"/>
          <w:sz w:val="24"/>
          <w:szCs w:val="24"/>
          <w:lang w:val="en-US"/>
        </w:rPr>
        <w:t>481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nm</w:t>
      </w:r>
      <w:r w:rsidR="00A96D5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A96D58" w:rsidRPr="00A96D5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96D58">
        <w:rPr>
          <w:rFonts w:ascii="Times New Roman" w:hAnsi="Times New Roman" w:cs="Times New Roman"/>
          <w:sz w:val="24"/>
          <w:szCs w:val="24"/>
          <w:lang w:val="en-US"/>
        </w:rPr>
        <w:t xml:space="preserve"> and 415 nm for </w:t>
      </w:r>
      <w:r w:rsidR="00A96D58" w:rsidRPr="00A96D5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50957" w:rsidRDefault="00517930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3035681A" wp14:editId="0BE78AA9">
            <wp:extent cx="3916392" cy="2888339"/>
            <wp:effectExtent l="0" t="0" r="825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76" cy="289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7A7" w:rsidRDefault="008827A7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A20E9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827A7">
        <w:rPr>
          <w:rFonts w:ascii="Times New Roman" w:hAnsi="Times New Roman" w:cs="Times New Roman"/>
          <w:sz w:val="24"/>
          <w:szCs w:val="24"/>
          <w:lang w:val="en-US"/>
        </w:rPr>
        <w:t>. Absorption spectrum of [Cu</w:t>
      </w:r>
      <w:r>
        <w:rPr>
          <w:rFonts w:ascii="Times New Roman" w:hAnsi="Times New Roman" w:cs="Times New Roman"/>
          <w:sz w:val="24"/>
          <w:szCs w:val="24"/>
          <w:lang w:val="en-US"/>
        </w:rPr>
        <w:t>(BCDS)</w:t>
      </w:r>
      <w:r w:rsidRPr="008827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](BF</w:t>
      </w:r>
      <w:r w:rsidRPr="008827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827A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827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 solution</w:t>
      </w:r>
    </w:p>
    <w:p w:rsidR="00A52585" w:rsidRDefault="00A52585" w:rsidP="00902D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>shape of the MLCT absorption band is a go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od indicator of the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 xml:space="preserve">ground state geometry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copper(I)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bis-phenanthroline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21CD">
        <w:rPr>
          <w:rFonts w:ascii="Times New Roman" w:hAnsi="Times New Roman" w:cs="Times New Roman"/>
          <w:sz w:val="24"/>
          <w:szCs w:val="24"/>
          <w:lang w:val="en-US"/>
        </w:rPr>
        <w:t>complexes.</w:t>
      </w:r>
      <w:r w:rsidR="009B56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855A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4DA">
        <w:rPr>
          <w:rFonts w:ascii="Times New Roman" w:hAnsi="Times New Roman" w:cs="Times New Roman"/>
          <w:sz w:val="24"/>
          <w:szCs w:val="24"/>
          <w:lang w:val="en-US"/>
        </w:rPr>
        <w:t xml:space="preserve">This transition corresponds to the promotion </w:t>
      </w:r>
      <w:r w:rsidR="005624DA" w:rsidRPr="005624DA">
        <w:rPr>
          <w:rFonts w:ascii="Times New Roman" w:hAnsi="Times New Roman" w:cs="Times New Roman"/>
          <w:sz w:val="24"/>
          <w:szCs w:val="24"/>
          <w:lang w:val="en-US"/>
        </w:rPr>
        <w:t>of an electron fr</w:t>
      </w:r>
      <w:r w:rsidR="005624DA">
        <w:rPr>
          <w:rFonts w:ascii="Times New Roman" w:hAnsi="Times New Roman" w:cs="Times New Roman"/>
          <w:sz w:val="24"/>
          <w:szCs w:val="24"/>
          <w:lang w:val="en-US"/>
        </w:rPr>
        <w:t xml:space="preserve">om a 3d copper orbital to a low </w:t>
      </w:r>
      <w:r w:rsidR="005624DA" w:rsidRPr="005624DA">
        <w:rPr>
          <w:rFonts w:ascii="Times New Roman" w:hAnsi="Times New Roman" w:cs="Times New Roman"/>
          <w:sz w:val="24"/>
          <w:szCs w:val="24"/>
          <w:lang w:val="en-US"/>
        </w:rPr>
        <w:t xml:space="preserve">lying </w:t>
      </w:r>
      <w:r w:rsidR="005624DA">
        <w:rPr>
          <w:rFonts w:ascii="Times New Roman" w:hAnsi="Times New Roman" w:cs="Times New Roman"/>
          <w:sz w:val="24"/>
          <w:szCs w:val="24"/>
        </w:rPr>
        <w:t>π</w:t>
      </w:r>
      <w:r w:rsidR="005624DA" w:rsidRPr="005624DA">
        <w:rPr>
          <w:rFonts w:ascii="Times New Roman" w:hAnsi="Times New Roman" w:cs="Times New Roman"/>
          <w:sz w:val="24"/>
          <w:szCs w:val="24"/>
          <w:lang w:val="en-US"/>
        </w:rPr>
        <w:t xml:space="preserve">* orbital on the </w:t>
      </w:r>
      <w:proofErr w:type="spellStart"/>
      <w:r w:rsidR="00517930">
        <w:rPr>
          <w:rFonts w:ascii="Times New Roman" w:hAnsi="Times New Roman" w:cs="Times New Roman"/>
          <w:sz w:val="24"/>
          <w:szCs w:val="24"/>
          <w:lang w:val="en-US"/>
        </w:rPr>
        <w:t>phenanthroline</w:t>
      </w:r>
      <w:proofErr w:type="spellEnd"/>
      <w:r w:rsidR="005624DA" w:rsidRPr="005624DA">
        <w:rPr>
          <w:rFonts w:ascii="Times New Roman" w:hAnsi="Times New Roman" w:cs="Times New Roman"/>
          <w:sz w:val="24"/>
          <w:szCs w:val="24"/>
          <w:lang w:val="en-US"/>
        </w:rPr>
        <w:t xml:space="preserve"> ligand.</w:t>
      </w:r>
      <w:r w:rsidR="00562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05F">
        <w:rPr>
          <w:rFonts w:ascii="Times New Roman" w:hAnsi="Times New Roman" w:cs="Times New Roman"/>
          <w:sz w:val="24"/>
          <w:szCs w:val="24"/>
          <w:lang w:val="en-US"/>
        </w:rPr>
        <w:t xml:space="preserve">As seen in </w:t>
      </w:r>
      <w:r w:rsidR="00A20E96">
        <w:rPr>
          <w:rFonts w:ascii="Times New Roman" w:hAnsi="Times New Roman" w:cs="Times New Roman"/>
          <w:sz w:val="24"/>
          <w:szCs w:val="24"/>
          <w:lang w:val="en-US"/>
        </w:rPr>
        <w:t>Fig.</w:t>
      </w:r>
      <w:r w:rsidR="00EA1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A105F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5624DA">
        <w:rPr>
          <w:rFonts w:ascii="Times New Roman" w:hAnsi="Times New Roman" w:cs="Times New Roman"/>
          <w:sz w:val="24"/>
          <w:szCs w:val="24"/>
          <w:lang w:val="en-US"/>
        </w:rPr>
        <w:t xml:space="preserve">his band is an envelope of </w:t>
      </w:r>
      <w:r w:rsidR="006F78EA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5624DA" w:rsidRPr="005624DA">
        <w:rPr>
          <w:rFonts w:ascii="Times New Roman" w:hAnsi="Times New Roman" w:cs="Times New Roman"/>
          <w:sz w:val="24"/>
          <w:szCs w:val="24"/>
          <w:lang w:val="en-US"/>
        </w:rPr>
        <w:t xml:space="preserve"> distinct MLCT transitio</w:t>
      </w:r>
      <w:r w:rsidR="005624DA">
        <w:rPr>
          <w:rFonts w:ascii="Times New Roman" w:hAnsi="Times New Roman" w:cs="Times New Roman"/>
          <w:sz w:val="24"/>
          <w:szCs w:val="24"/>
          <w:lang w:val="en-US"/>
        </w:rPr>
        <w:t xml:space="preserve">ns </w:t>
      </w:r>
      <w:r w:rsidR="005624DA" w:rsidRPr="005624DA">
        <w:rPr>
          <w:rFonts w:ascii="Times New Roman" w:hAnsi="Times New Roman" w:cs="Times New Roman"/>
          <w:sz w:val="24"/>
          <w:szCs w:val="24"/>
          <w:lang w:val="en-US"/>
        </w:rPr>
        <w:t>of distinct relative probability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930">
        <w:rPr>
          <w:rFonts w:ascii="Times New Roman" w:hAnsi="Times New Roman" w:cs="Times New Roman"/>
          <w:sz w:val="24"/>
          <w:szCs w:val="24"/>
          <w:lang w:val="en-US"/>
        </w:rPr>
        <w:t>Band I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at 553 nm with 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>oscillator strength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f=</w:t>
      </w:r>
      <w:r w:rsidR="0045459C" w:rsidRPr="006F78EA">
        <w:rPr>
          <w:rFonts w:ascii="Times New Roman" w:hAnsi="Times New Roman" w:cs="Times New Roman"/>
          <w:sz w:val="24"/>
          <w:szCs w:val="24"/>
          <w:lang w:val="en-US"/>
        </w:rPr>
        <w:t>0.0052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>can be assigned to a S</w:t>
      </w:r>
      <w:r w:rsidR="0045459C" w:rsidRPr="004545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459C" w:rsidRPr="004545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 xml:space="preserve"> transition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This transition </w:t>
      </w:r>
      <w:proofErr w:type="spellStart"/>
      <w:r w:rsidR="00BF56DB">
        <w:rPr>
          <w:rFonts w:ascii="Times New Roman" w:hAnsi="Times New Roman" w:cs="Times New Roman"/>
          <w:sz w:val="24"/>
          <w:szCs w:val="24"/>
          <w:lang w:val="en-US"/>
        </w:rPr>
        <w:t>propability</w:t>
      </w:r>
      <w:proofErr w:type="spellEnd"/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>can function as a measure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>the degree of flattening of the copper complex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>For a D</w:t>
      </w:r>
      <w:r w:rsidR="0045459C" w:rsidRPr="004545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2d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566E" w:rsidRPr="00BF56DB">
        <w:rPr>
          <w:rFonts w:ascii="Times New Roman" w:hAnsi="Times New Roman" w:cs="Times New Roman"/>
          <w:sz w:val="24"/>
          <w:szCs w:val="24"/>
          <w:lang w:val="en-US"/>
        </w:rPr>
        <w:t>(pseudo-tetrahedra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 xml:space="preserve">l) 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 xml:space="preserve">complex, 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this excitation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 xml:space="preserve"> has a transition dipole of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59C" w:rsidRPr="0045459C">
        <w:rPr>
          <w:rFonts w:ascii="Times New Roman" w:hAnsi="Times New Roman" w:cs="Times New Roman"/>
          <w:sz w:val="24"/>
          <w:szCs w:val="24"/>
          <w:lang w:val="en-US"/>
        </w:rPr>
        <w:t>nearly zero and hence very little oscillator strength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, but 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 xml:space="preserve">oscillator strength 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>increases as the coor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>dination symmetry changes from D</w:t>
      </w:r>
      <w:r w:rsidR="00BF56DB" w:rsidRPr="00BF56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2d</w:t>
      </w:r>
      <w:r w:rsidR="00BF56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9B56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>to D</w:t>
      </w:r>
      <w:r w:rsidR="00BF56DB" w:rsidRPr="00BF56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F56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>(flattened tetrahedral)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7930">
        <w:rPr>
          <w:rFonts w:ascii="Times New Roman" w:hAnsi="Times New Roman" w:cs="Times New Roman"/>
          <w:sz w:val="24"/>
          <w:szCs w:val="24"/>
          <w:lang w:val="en-US"/>
        </w:rPr>
        <w:t xml:space="preserve"> Band II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51EE">
        <w:rPr>
          <w:rFonts w:ascii="Times New Roman" w:hAnsi="Times New Roman" w:cs="Times New Roman"/>
          <w:sz w:val="24"/>
          <w:szCs w:val="24"/>
          <w:lang w:val="en-US"/>
        </w:rPr>
        <w:t>consists of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 w:rsidR="00030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4D8" w:rsidRPr="005624DA">
        <w:rPr>
          <w:rFonts w:ascii="Times New Roman" w:hAnsi="Times New Roman" w:cs="Times New Roman"/>
          <w:sz w:val="24"/>
          <w:szCs w:val="24"/>
          <w:lang w:val="en-US"/>
        </w:rPr>
        <w:t>distinct</w:t>
      </w:r>
      <w:r w:rsidR="00454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4D8">
        <w:rPr>
          <w:rFonts w:ascii="Times New Roman" w:hAnsi="Times New Roman" w:cs="Times New Roman"/>
          <w:sz w:val="24"/>
          <w:szCs w:val="24"/>
          <w:lang w:val="en-US"/>
        </w:rPr>
        <w:t xml:space="preserve"> peaks at</w:t>
      </w:r>
      <w:r w:rsidR="00390389">
        <w:rPr>
          <w:rFonts w:ascii="Times New Roman" w:hAnsi="Times New Roman" w:cs="Times New Roman"/>
          <w:sz w:val="24"/>
          <w:szCs w:val="24"/>
          <w:lang w:val="en-US"/>
        </w:rPr>
        <w:t xml:space="preserve"> 490 nm</w:t>
      </w:r>
      <w:r w:rsidR="000304D8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39038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90389" w:rsidRPr="00390389">
        <w:rPr>
          <w:rFonts w:ascii="Times New Roman" w:hAnsi="Times New Roman" w:cs="Times New Roman"/>
          <w:sz w:val="24"/>
          <w:szCs w:val="24"/>
          <w:lang w:val="en-US"/>
        </w:rPr>
        <w:t>0.020</w:t>
      </w:r>
      <w:r w:rsidR="0039038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304D8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390389">
        <w:rPr>
          <w:rFonts w:ascii="Times New Roman" w:hAnsi="Times New Roman" w:cs="Times New Roman"/>
          <w:sz w:val="24"/>
          <w:szCs w:val="24"/>
          <w:lang w:val="en-US"/>
        </w:rPr>
        <w:t xml:space="preserve"> 470 nm f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90389" w:rsidRPr="00390389">
        <w:rPr>
          <w:rFonts w:ascii="Times New Roman" w:hAnsi="Times New Roman" w:cs="Times New Roman"/>
          <w:sz w:val="24"/>
          <w:szCs w:val="24"/>
          <w:lang w:val="en-US"/>
        </w:rPr>
        <w:t>0.10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 xml:space="preserve">corresponds to a </w:t>
      </w:r>
      <w:r w:rsidR="00BF56DB" w:rsidRPr="0045459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56DB" w:rsidRPr="004545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BF56DB" w:rsidRPr="0045459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56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F5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6DB" w:rsidRPr="00BF56DB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 w:rsidR="000304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E51EE">
        <w:rPr>
          <w:rFonts w:ascii="Times New Roman" w:hAnsi="Times New Roman" w:cs="Times New Roman"/>
          <w:sz w:val="24"/>
          <w:szCs w:val="24"/>
          <w:lang w:val="en-US"/>
        </w:rPr>
        <w:t xml:space="preserve">This peak separation is attributed to </w:t>
      </w:r>
      <w:proofErr w:type="spellStart"/>
      <w:r w:rsidR="002E51EE" w:rsidRPr="002E51EE">
        <w:rPr>
          <w:rFonts w:ascii="Times New Roman" w:hAnsi="Times New Roman" w:cs="Times New Roman"/>
          <w:sz w:val="24"/>
          <w:szCs w:val="24"/>
          <w:lang w:val="en-US"/>
        </w:rPr>
        <w:t>vibronic</w:t>
      </w:r>
      <w:proofErr w:type="spellEnd"/>
      <w:r w:rsidR="002E51EE" w:rsidRPr="002E51EE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2E51EE">
        <w:rPr>
          <w:rFonts w:ascii="Times New Roman" w:hAnsi="Times New Roman" w:cs="Times New Roman"/>
          <w:sz w:val="24"/>
          <w:szCs w:val="24"/>
          <w:lang w:val="en-US"/>
        </w:rPr>
        <w:t xml:space="preserve"> of the C-N bond.</w:t>
      </w:r>
      <w:r w:rsidR="00517930">
        <w:rPr>
          <w:rFonts w:ascii="Times New Roman" w:hAnsi="Times New Roman" w:cs="Times New Roman"/>
          <w:sz w:val="24"/>
          <w:szCs w:val="24"/>
          <w:lang w:val="en-US"/>
        </w:rPr>
        <w:t xml:space="preserve"> Band III</w:t>
      </w:r>
      <w:r w:rsidR="00F255FD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390389">
        <w:rPr>
          <w:rFonts w:ascii="Times New Roman" w:hAnsi="Times New Roman" w:cs="Times New Roman"/>
          <w:sz w:val="24"/>
          <w:szCs w:val="24"/>
          <w:lang w:val="en-US"/>
        </w:rPr>
        <w:t xml:space="preserve"> 410 nm</w:t>
      </w:r>
      <w:r w:rsidR="002E51EE">
        <w:rPr>
          <w:rFonts w:ascii="Times New Roman" w:hAnsi="Times New Roman" w:cs="Times New Roman"/>
          <w:sz w:val="24"/>
          <w:szCs w:val="24"/>
          <w:lang w:val="en-US"/>
        </w:rPr>
        <w:t xml:space="preserve"> is attributed to </w:t>
      </w:r>
      <w:proofErr w:type="spellStart"/>
      <w:r w:rsidR="002E51EE" w:rsidRPr="002E51EE">
        <w:rPr>
          <w:rFonts w:ascii="Times New Roman" w:hAnsi="Times New Roman" w:cs="Times New Roman"/>
          <w:sz w:val="24"/>
          <w:szCs w:val="24"/>
          <w:lang w:val="en-US"/>
        </w:rPr>
        <w:t>vibronic</w:t>
      </w:r>
      <w:proofErr w:type="spellEnd"/>
      <w:r w:rsidR="002E51EE" w:rsidRPr="002E51EE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2E51EE">
        <w:rPr>
          <w:rFonts w:ascii="Times New Roman" w:hAnsi="Times New Roman" w:cs="Times New Roman"/>
          <w:sz w:val="24"/>
          <w:szCs w:val="24"/>
          <w:lang w:val="en-US"/>
        </w:rPr>
        <w:t xml:space="preserve"> and is significantly hidden by ligand peaks</w:t>
      </w:r>
      <w:r w:rsidR="005179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27A7" w:rsidRDefault="00785457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7A843D71" wp14:editId="3E36236B">
            <wp:extent cx="3605842" cy="2794790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8139"/>
                    <a:stretch/>
                  </pic:blipFill>
                  <pic:spPr bwMode="auto">
                    <a:xfrm>
                      <a:off x="0" y="0"/>
                      <a:ext cx="3611450" cy="2799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27A7" w:rsidRDefault="008827A7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A20E9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827A7">
        <w:rPr>
          <w:rFonts w:ascii="Times New Roman" w:hAnsi="Times New Roman" w:cs="Times New Roman"/>
          <w:sz w:val="24"/>
          <w:szCs w:val="24"/>
          <w:lang w:val="en-US"/>
        </w:rPr>
        <w:t>. Absorption spectrum of [Cu</w:t>
      </w:r>
      <w:r>
        <w:rPr>
          <w:rFonts w:ascii="Times New Roman" w:hAnsi="Times New Roman" w:cs="Times New Roman"/>
          <w:sz w:val="24"/>
          <w:szCs w:val="24"/>
          <w:lang w:val="en-US"/>
        </w:rPr>
        <w:t>(BCDS)(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dppe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)](BF</w:t>
      </w:r>
      <w:r w:rsidRPr="008827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827A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DMF solution</w:t>
      </w:r>
    </w:p>
    <w:p w:rsidR="005B62D8" w:rsidRPr="006B06C3" w:rsidRDefault="00F255FD" w:rsidP="006B0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MLCT band of complex 2 consists of two peaks at </w:t>
      </w:r>
      <w:r w:rsidR="009D0509" w:rsidRPr="009D0509">
        <w:rPr>
          <w:rFonts w:ascii="Times New Roman" w:hAnsi="Times New Roman" w:cs="Times New Roman"/>
          <w:sz w:val="24"/>
          <w:szCs w:val="24"/>
          <w:lang w:val="en-US"/>
        </w:rPr>
        <w:t>426 nm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B566E" w:rsidRPr="0045459C">
        <w:rPr>
          <w:rFonts w:ascii="Times New Roman" w:hAnsi="Times New Roman" w:cs="Times New Roman"/>
          <w:sz w:val="24"/>
          <w:szCs w:val="24"/>
          <w:lang w:val="en-US"/>
        </w:rPr>
        <w:t>oscillator strength</w:t>
      </w:r>
      <w:r w:rsidR="009D0509" w:rsidRPr="009D050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D0509">
        <w:rPr>
          <w:rFonts w:ascii="Times New Roman" w:hAnsi="Times New Roman" w:cs="Times New Roman"/>
          <w:sz w:val="24"/>
          <w:szCs w:val="24"/>
          <w:lang w:val="en-US"/>
        </w:rPr>
        <w:t>0.033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 xml:space="preserve"> 384 nm with f=0.065. </w:t>
      </w:r>
      <w:r w:rsidR="006B06C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6B06C3">
        <w:rPr>
          <w:rFonts w:ascii="Times New Roman" w:hAnsi="Times New Roman" w:cs="Times New Roman"/>
          <w:sz w:val="24"/>
          <w:szCs w:val="24"/>
          <w:lang w:val="en-US"/>
        </w:rPr>
        <w:t xml:space="preserve">absorption transitions of copper(I) </w:t>
      </w:r>
      <w:proofErr w:type="spellStart"/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>diphosphine-diimine</w:t>
      </w:r>
      <w:proofErr w:type="spellEnd"/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6C3">
        <w:rPr>
          <w:rFonts w:ascii="Times New Roman" w:hAnsi="Times New Roman" w:cs="Times New Roman"/>
          <w:sz w:val="24"/>
          <w:szCs w:val="24"/>
          <w:lang w:val="en-US"/>
        </w:rPr>
        <w:t xml:space="preserve">complexes are best </w:t>
      </w:r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 xml:space="preserve">described in terms of </w:t>
      </w:r>
      <w:proofErr w:type="spellStart"/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>multiconfigurations</w:t>
      </w:r>
      <w:proofErr w:type="spellEnd"/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>, using linear combinations of occupied and v</w:t>
      </w:r>
      <w:r w:rsidR="006B06C3">
        <w:rPr>
          <w:rFonts w:ascii="Times New Roman" w:hAnsi="Times New Roman" w:cs="Times New Roman"/>
          <w:sz w:val="24"/>
          <w:szCs w:val="24"/>
          <w:lang w:val="en-US"/>
        </w:rPr>
        <w:t xml:space="preserve">irtual </w:t>
      </w:r>
      <w:r w:rsidR="006B06C3" w:rsidRPr="006B06C3">
        <w:rPr>
          <w:rFonts w:ascii="Times New Roman" w:hAnsi="Times New Roman" w:cs="Times New Roman"/>
          <w:sz w:val="24"/>
          <w:szCs w:val="24"/>
          <w:lang w:val="en-US"/>
        </w:rPr>
        <w:t>orbitals</w:t>
      </w:r>
      <w:r w:rsidR="006B06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06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855A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</w:p>
    <w:p w:rsidR="008827A7" w:rsidRDefault="005B0006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25490A1F" wp14:editId="7E161868">
            <wp:extent cx="2560532" cy="1915064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532" cy="19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FB0" w:rsidRDefault="00074FB0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A20E9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8827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1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05F" w:rsidRPr="00EA105F">
        <w:rPr>
          <w:rFonts w:ascii="Times New Roman" w:hAnsi="Times New Roman" w:cs="Times New Roman"/>
          <w:sz w:val="24"/>
          <w:szCs w:val="24"/>
          <w:lang w:val="en-US"/>
        </w:rPr>
        <w:t>Excitation spectra (</w:t>
      </w:r>
      <w:r w:rsidR="00AE35A8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EA105F" w:rsidRPr="00EA105F">
        <w:rPr>
          <w:rFonts w:ascii="Times New Roman" w:hAnsi="Times New Roman" w:cs="Times New Roman"/>
          <w:sz w:val="24"/>
          <w:szCs w:val="24"/>
          <w:lang w:val="en-US"/>
        </w:rPr>
        <w:t>) an</w:t>
      </w:r>
      <w:r w:rsidR="00AE35A8">
        <w:rPr>
          <w:rFonts w:ascii="Times New Roman" w:hAnsi="Times New Roman" w:cs="Times New Roman"/>
          <w:sz w:val="24"/>
          <w:szCs w:val="24"/>
          <w:lang w:val="en-US"/>
        </w:rPr>
        <w:t>d emission spectra (black) of complex</w:t>
      </w:r>
      <w:r w:rsidR="00EA105F" w:rsidRPr="00EA1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35A8" w:rsidRPr="00E267C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E35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35A8" w:rsidRPr="008827A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E35A8">
        <w:rPr>
          <w:rFonts w:ascii="Times New Roman" w:hAnsi="Times New Roman" w:cs="Times New Roman"/>
          <w:sz w:val="24"/>
          <w:szCs w:val="24"/>
          <w:lang w:val="en-US"/>
        </w:rPr>
        <w:t xml:space="preserve"> DMF solution </w:t>
      </w:r>
      <w:r w:rsidR="00EA105F" w:rsidRPr="00EA105F">
        <w:rPr>
          <w:rFonts w:ascii="Times New Roman" w:hAnsi="Times New Roman" w:cs="Times New Roman"/>
          <w:sz w:val="24"/>
          <w:szCs w:val="24"/>
          <w:lang w:val="en-US"/>
        </w:rPr>
        <w:t>at room temperature</w:t>
      </w:r>
    </w:p>
    <w:p w:rsidR="00074FB0" w:rsidRPr="008827A7" w:rsidRDefault="00734232" w:rsidP="00902D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Pr="0073423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shows very weak emission in solution at room temperature. </w:t>
      </w:r>
      <w:r w:rsidR="00B047C9">
        <w:rPr>
          <w:rFonts w:ascii="Times New Roman" w:hAnsi="Times New Roman" w:cs="Times New Roman"/>
          <w:sz w:val="24"/>
          <w:szCs w:val="24"/>
          <w:lang w:val="en-US"/>
        </w:rPr>
        <w:t>Although,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7C9">
        <w:rPr>
          <w:rFonts w:ascii="Times New Roman" w:hAnsi="Times New Roman" w:cs="Times New Roman"/>
          <w:sz w:val="24"/>
          <w:szCs w:val="24"/>
          <w:lang w:val="en-US"/>
        </w:rPr>
        <w:t xml:space="preserve">it is evidenced that polar </w:t>
      </w:r>
      <w:r w:rsidR="00B047C9" w:rsidRPr="00734232">
        <w:rPr>
          <w:rFonts w:ascii="Times New Roman" w:hAnsi="Times New Roman" w:cs="Times New Roman"/>
          <w:sz w:val="24"/>
          <w:szCs w:val="24"/>
          <w:lang w:val="en-US"/>
        </w:rPr>
        <w:t>solvents</w:t>
      </w:r>
      <w:r w:rsidR="00B047C9">
        <w:rPr>
          <w:rFonts w:ascii="Times New Roman" w:hAnsi="Times New Roman" w:cs="Times New Roman"/>
          <w:sz w:val="24"/>
          <w:szCs w:val="24"/>
          <w:lang w:val="en-US"/>
        </w:rPr>
        <w:t xml:space="preserve"> usually quench copper (I) complexes by </w:t>
      </w:r>
      <w:proofErr w:type="spellStart"/>
      <w:r w:rsidR="00B047C9">
        <w:rPr>
          <w:rFonts w:ascii="Times New Roman" w:hAnsi="Times New Roman" w:cs="Times New Roman"/>
          <w:sz w:val="24"/>
          <w:szCs w:val="24"/>
          <w:lang w:val="en-US"/>
        </w:rPr>
        <w:t>exciplex</w:t>
      </w:r>
      <w:proofErr w:type="spellEnd"/>
      <w:r w:rsidR="00B04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7C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formation, </w:t>
      </w:r>
      <w:r w:rsidR="00B047C9" w:rsidRPr="00B047C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047C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047C9" w:rsidRPr="00B047C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047C9">
        <w:rPr>
          <w:rFonts w:ascii="Times New Roman" w:hAnsi="Times New Roman" w:cs="Times New Roman"/>
          <w:sz w:val="24"/>
          <w:szCs w:val="24"/>
          <w:lang w:val="en-US"/>
        </w:rPr>
        <w:t xml:space="preserve"> are not soluble in any non coordinating solvent.  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250" w:rsidRPr="0094625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>ot show</w:t>
      </w:r>
      <w:r w:rsidR="0071420D">
        <w:rPr>
          <w:rFonts w:ascii="Times New Roman" w:hAnsi="Times New Roman" w:cs="Times New Roman"/>
          <w:sz w:val="24"/>
          <w:szCs w:val="24"/>
          <w:lang w:val="en-US"/>
        </w:rPr>
        <w:t xml:space="preserve"> detectable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 phosphorescence at room 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temperature in organic solvents, e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ither in the presence of oxygen 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or in degassed solutions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 xml:space="preserve">In a dilute solution, 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flexible P(CH</w:t>
      </w:r>
      <w:r w:rsidR="00946250" w:rsidRPr="009462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46250" w:rsidRPr="009462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P chains undergo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 dynamic </w:t>
      </w:r>
      <w:proofErr w:type="spellStart"/>
      <w:r w:rsidR="00946250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 vibrations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, which non-</w:t>
      </w:r>
      <w:proofErr w:type="spellStart"/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>radiatively</w:t>
      </w:r>
      <w:proofErr w:type="spellEnd"/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nihilates the excited state and 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 xml:space="preserve">renders 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>the complex</w:t>
      </w:r>
      <w:r w:rsidR="00946250" w:rsidRPr="00946250">
        <w:rPr>
          <w:rFonts w:ascii="Times New Roman" w:hAnsi="Times New Roman" w:cs="Times New Roman"/>
          <w:sz w:val="24"/>
          <w:szCs w:val="24"/>
          <w:lang w:val="en-US"/>
        </w:rPr>
        <w:t xml:space="preserve"> non-luminescent</w:t>
      </w:r>
      <w:r w:rsidR="009462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16950" w:rsidRDefault="00A16950" w:rsidP="00902D6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7EDF">
        <w:rPr>
          <w:rFonts w:ascii="Times New Roman" w:hAnsi="Times New Roman" w:cs="Times New Roman"/>
          <w:b/>
          <w:sz w:val="24"/>
          <w:szCs w:val="24"/>
          <w:lang w:val="en-US"/>
        </w:rPr>
        <w:t>Electrochemistry</w:t>
      </w:r>
    </w:p>
    <w:p w:rsidR="00962262" w:rsidRDefault="00962262" w:rsidP="009622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2262">
        <w:rPr>
          <w:rFonts w:ascii="Times New Roman" w:hAnsi="Times New Roman" w:cs="Times New Roman"/>
          <w:sz w:val="24"/>
          <w:szCs w:val="24"/>
          <w:lang w:val="en-US"/>
        </w:rPr>
        <w:t>The electrochemical propertie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of complexes </w:t>
      </w:r>
      <w:r w:rsidRPr="0096226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6226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2262">
        <w:rPr>
          <w:rFonts w:ascii="Times New Roman" w:hAnsi="Times New Roman" w:cs="Times New Roman"/>
          <w:sz w:val="24"/>
          <w:szCs w:val="24"/>
          <w:lang w:val="en-US"/>
        </w:rPr>
        <w:t xml:space="preserve">were assessed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dry </w:t>
      </w:r>
      <w:proofErr w:type="spellStart"/>
      <w:r w:rsidRPr="00962262">
        <w:rPr>
          <w:rFonts w:ascii="Times New Roman" w:hAnsi="Times New Roman" w:cs="Times New Roman"/>
          <w:sz w:val="24"/>
          <w:szCs w:val="24"/>
          <w:lang w:val="en-US"/>
        </w:rPr>
        <w:t>dimethylformamide</w:t>
      </w:r>
      <w:proofErr w:type="spellEnd"/>
      <w:r w:rsidRPr="0096226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Redox </w:t>
      </w:r>
      <w:r w:rsidRPr="00962262">
        <w:rPr>
          <w:rFonts w:ascii="Times New Roman" w:hAnsi="Times New Roman" w:cs="Times New Roman"/>
          <w:sz w:val="24"/>
          <w:szCs w:val="24"/>
          <w:lang w:val="en-US"/>
        </w:rPr>
        <w:t xml:space="preserve">potentials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ground and excited states </w:t>
      </w:r>
      <w:r w:rsidRPr="00962262">
        <w:rPr>
          <w:rFonts w:ascii="Times New Roman" w:hAnsi="Times New Roman" w:cs="Times New Roman"/>
          <w:sz w:val="24"/>
          <w:szCs w:val="24"/>
          <w:lang w:val="en-US"/>
        </w:rPr>
        <w:t>are gathered in Table 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5C77" w:rsidRDefault="00204BEE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10B30679" wp14:editId="3F0BFE1D">
            <wp:extent cx="3994030" cy="2962701"/>
            <wp:effectExtent l="0" t="0" r="698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029" cy="29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DF" w:rsidRDefault="0012497D" w:rsidP="00902D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F477E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7EDF" w:rsidRPr="00C37EDF">
        <w:rPr>
          <w:rFonts w:ascii="Times New Roman" w:hAnsi="Times New Roman" w:cs="Times New Roman"/>
          <w:sz w:val="24"/>
          <w:szCs w:val="24"/>
          <w:lang w:val="en-US"/>
        </w:rPr>
        <w:t>Cyclic voltammetry curv</w:t>
      </w:r>
      <w:r w:rsidR="002A5C77">
        <w:rPr>
          <w:rFonts w:ascii="Times New Roman" w:hAnsi="Times New Roman" w:cs="Times New Roman"/>
          <w:sz w:val="24"/>
          <w:szCs w:val="24"/>
          <w:lang w:val="en-US"/>
        </w:rPr>
        <w:t>es of</w:t>
      </w:r>
      <w:r w:rsidR="00EA0D24">
        <w:rPr>
          <w:rFonts w:ascii="Times New Roman" w:hAnsi="Times New Roman" w:cs="Times New Roman"/>
          <w:sz w:val="24"/>
          <w:szCs w:val="24"/>
          <w:lang w:val="en-US"/>
        </w:rPr>
        <w:t xml:space="preserve"> complexes</w:t>
      </w:r>
      <w:r w:rsidR="002A5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5C77" w:rsidRPr="00EA0D2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A0D2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A5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5C77" w:rsidRPr="00EA0D2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A0D24">
        <w:rPr>
          <w:rFonts w:ascii="Times New Roman" w:hAnsi="Times New Roman" w:cs="Times New Roman"/>
          <w:sz w:val="24"/>
          <w:szCs w:val="24"/>
          <w:lang w:val="en-US"/>
        </w:rPr>
        <w:t xml:space="preserve"> in DMF solution, </w:t>
      </w:r>
      <w:r w:rsidR="00EA0D24" w:rsidRPr="00EA0D24">
        <w:rPr>
          <w:rFonts w:ascii="Times New Roman" w:hAnsi="Times New Roman" w:cs="Times New Roman"/>
          <w:sz w:val="24"/>
          <w:szCs w:val="24"/>
          <w:lang w:val="en-US"/>
        </w:rPr>
        <w:t>measured using a standard three-electrode arrangement with a glassy carbon working electrode, a platinum wire counter electrode, and an Ag/AgNO</w:t>
      </w:r>
      <w:r w:rsidR="00EA0D24" w:rsidRPr="00EA0D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A0D24" w:rsidRPr="00EA0D24">
        <w:rPr>
          <w:rFonts w:ascii="Times New Roman" w:hAnsi="Times New Roman" w:cs="Times New Roman"/>
          <w:sz w:val="24"/>
          <w:szCs w:val="24"/>
          <w:lang w:val="en-US"/>
        </w:rPr>
        <w:t xml:space="preserve"> reference electrode</w:t>
      </w:r>
      <w:r w:rsidR="00C02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77ED" w:rsidRDefault="00F477ED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50BD" w:rsidRDefault="00DF42EB" w:rsidP="00902D6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</w:t>
      </w:r>
      <w:r w:rsidR="0012497D" w:rsidRPr="00A24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12497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42EB">
        <w:rPr>
          <w:rFonts w:ascii="Times New Roman" w:hAnsi="Times New Roman" w:cs="Times New Roman"/>
          <w:sz w:val="24"/>
          <w:szCs w:val="24"/>
          <w:lang w:val="en-US"/>
        </w:rPr>
        <w:t xml:space="preserve">Photo- and electrochemical data of </w:t>
      </w:r>
      <w:r w:rsidR="00C537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PSs in DMF. </w:t>
      </w:r>
      <w:r w:rsidR="00C934B6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otentials </w:t>
      </w:r>
      <w:r w:rsidRPr="00DF42EB">
        <w:rPr>
          <w:rFonts w:ascii="Times New Roman" w:hAnsi="Times New Roman" w:cs="Times New Roman"/>
          <w:sz w:val="24"/>
          <w:szCs w:val="24"/>
          <w:lang w:val="en-US"/>
        </w:rPr>
        <w:t>are given versus Fc/Fc</w:t>
      </w:r>
      <w:r w:rsidRPr="00DF4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DF42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8035" w:type="dxa"/>
        <w:tblLayout w:type="fixed"/>
        <w:tblLook w:val="04A0" w:firstRow="1" w:lastRow="0" w:firstColumn="1" w:lastColumn="0" w:noHBand="0" w:noVBand="1"/>
      </w:tblPr>
      <w:tblGrid>
        <w:gridCol w:w="1428"/>
        <w:gridCol w:w="781"/>
        <w:gridCol w:w="1318"/>
        <w:gridCol w:w="727"/>
        <w:gridCol w:w="886"/>
        <w:gridCol w:w="926"/>
        <w:gridCol w:w="926"/>
        <w:gridCol w:w="1043"/>
      </w:tblGrid>
      <w:tr w:rsidR="006955FD" w:rsidTr="004F0CD2">
        <w:trPr>
          <w:trHeight w:val="655"/>
        </w:trPr>
        <w:tc>
          <w:tcPr>
            <w:tcW w:w="142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Complex</w:t>
            </w:r>
          </w:p>
        </w:tc>
        <w:tc>
          <w:tcPr>
            <w:tcW w:w="78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</w:rPr>
              <w:t>λ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>abs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(nm)</w:t>
            </w:r>
          </w:p>
        </w:tc>
        <w:tc>
          <w:tcPr>
            <w:tcW w:w="13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</w:rPr>
              <w:t>ε</w:t>
            </w:r>
          </w:p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(M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cm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)</w:t>
            </w:r>
          </w:p>
        </w:tc>
        <w:tc>
          <w:tcPr>
            <w:tcW w:w="72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</w:rPr>
              <w:t>λ</w:t>
            </w:r>
            <w:proofErr w:type="spellStart"/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(nm)</w:t>
            </w:r>
          </w:p>
        </w:tc>
        <w:tc>
          <w:tcPr>
            <w:tcW w:w="88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E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>ox</w:t>
            </w:r>
            <w:proofErr w:type="spellEnd"/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(V)</w:t>
            </w:r>
          </w:p>
        </w:tc>
        <w:tc>
          <w:tcPr>
            <w:tcW w:w="92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E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>red</w:t>
            </w:r>
            <w:proofErr w:type="spellEnd"/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 xml:space="preserve"> </w:t>
            </w: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(V)</w:t>
            </w:r>
          </w:p>
        </w:tc>
        <w:tc>
          <w:tcPr>
            <w:tcW w:w="92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E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>ox</w:t>
            </w:r>
            <w:proofErr w:type="spellEnd"/>
            <w:r w:rsidRPr="008E0F3C">
              <w:rPr>
                <w:rFonts w:ascii="Times New Roman" w:hAnsi="Times New Roman" w:cs="Times New Roman"/>
                <w:b/>
                <w:szCs w:val="24"/>
                <w:vertAlign w:val="superscript"/>
                <w:lang w:val="en-US"/>
              </w:rPr>
              <w:t xml:space="preserve">* </w:t>
            </w: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(V)</w:t>
            </w:r>
          </w:p>
        </w:tc>
        <w:tc>
          <w:tcPr>
            <w:tcW w:w="104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E</w:t>
            </w:r>
            <w:r w:rsidRPr="008E0F3C">
              <w:rPr>
                <w:rFonts w:ascii="Times New Roman" w:hAnsi="Times New Roman" w:cs="Times New Roman"/>
                <w:b/>
                <w:szCs w:val="24"/>
                <w:vertAlign w:val="subscript"/>
                <w:lang w:val="en-US"/>
              </w:rPr>
              <w:t>red</w:t>
            </w:r>
            <w:proofErr w:type="spellEnd"/>
            <w:r w:rsidRPr="008E0F3C">
              <w:rPr>
                <w:rFonts w:ascii="Times New Roman" w:hAnsi="Times New Roman" w:cs="Times New Roman"/>
                <w:b/>
                <w:szCs w:val="24"/>
                <w:vertAlign w:val="superscript"/>
                <w:lang w:val="en-US"/>
              </w:rPr>
              <w:t xml:space="preserve">* </w:t>
            </w: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(V)</w:t>
            </w:r>
          </w:p>
        </w:tc>
      </w:tr>
      <w:tr w:rsidR="000C5EBB" w:rsidTr="004F0CD2">
        <w:trPr>
          <w:trHeight w:val="371"/>
        </w:trPr>
        <w:tc>
          <w:tcPr>
            <w:tcW w:w="1428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5C0BD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78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D8372F" w:rsidP="007142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71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8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0C5EBB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727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D8372F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886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0C5EBB" w:rsidP="0081706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  <w:r w:rsidR="0081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817064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-2.01</w:t>
            </w:r>
          </w:p>
        </w:tc>
        <w:tc>
          <w:tcPr>
            <w:tcW w:w="926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817064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-2.32</w:t>
            </w:r>
          </w:p>
        </w:tc>
        <w:tc>
          <w:tcPr>
            <w:tcW w:w="1043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957A96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</w:t>
            </w:r>
          </w:p>
        </w:tc>
      </w:tr>
      <w:tr w:rsidR="000C5EBB" w:rsidTr="004F0CD2">
        <w:trPr>
          <w:trHeight w:val="371"/>
        </w:trPr>
        <w:tc>
          <w:tcPr>
            <w:tcW w:w="1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Pr="008E0F3C" w:rsidRDefault="008E0F3C" w:rsidP="005C0BD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817064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13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0C5EBB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</w:t>
            </w:r>
          </w:p>
        </w:tc>
        <w:tc>
          <w:tcPr>
            <w:tcW w:w="7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D8372F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8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0C5EBB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  <w:r w:rsidR="00BB3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BB341F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-1.96</w:t>
            </w:r>
          </w:p>
        </w:tc>
        <w:tc>
          <w:tcPr>
            <w:tcW w:w="9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957A96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-2.05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0F3C" w:rsidRDefault="00957A96" w:rsidP="00BB34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</w:t>
            </w:r>
          </w:p>
        </w:tc>
      </w:tr>
    </w:tbl>
    <w:p w:rsidR="00DF42EB" w:rsidRPr="000C5EBB" w:rsidRDefault="00DF42EB" w:rsidP="00902D6C">
      <w:pPr>
        <w:spacing w:line="48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DF42EB">
        <w:rPr>
          <w:rFonts w:ascii="Times New Roman" w:hAnsi="Times New Roman" w:cs="Times New Roman"/>
          <w:sz w:val="20"/>
          <w:szCs w:val="24"/>
          <w:lang w:val="en-US"/>
        </w:rPr>
        <w:t xml:space="preserve">*Minimal excited state potentials were estimated as </w:t>
      </w:r>
      <w:proofErr w:type="spellStart"/>
      <w:r w:rsidRPr="00DF42EB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DF42EB">
        <w:rPr>
          <w:rFonts w:ascii="Times New Roman" w:hAnsi="Times New Roman" w:cs="Times New Roman"/>
          <w:sz w:val="20"/>
          <w:szCs w:val="24"/>
          <w:vertAlign w:val="subscript"/>
          <w:lang w:val="en-US"/>
        </w:rPr>
        <w:t>ox</w:t>
      </w:r>
      <w:proofErr w:type="spellEnd"/>
      <w:r w:rsidRPr="00DF42EB">
        <w:rPr>
          <w:rFonts w:ascii="Times New Roman" w:hAnsi="Times New Roman" w:cs="Times New Roman"/>
          <w:sz w:val="20"/>
          <w:szCs w:val="24"/>
          <w:vertAlign w:val="subscript"/>
          <w:lang w:val="en-US"/>
        </w:rPr>
        <w:t>/red</w:t>
      </w:r>
      <w:r w:rsidRPr="00DF42EB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 xml:space="preserve"> *</w:t>
      </w:r>
      <w:r w:rsidRPr="00DF42EB">
        <w:rPr>
          <w:rFonts w:ascii="Times New Roman" w:hAnsi="Times New Roman" w:cs="Times New Roman"/>
          <w:sz w:val="20"/>
          <w:szCs w:val="24"/>
          <w:lang w:val="en-US"/>
        </w:rPr>
        <w:t xml:space="preserve"> = </w:t>
      </w:r>
      <w:proofErr w:type="spellStart"/>
      <w:r w:rsidRPr="00DF42EB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DF42EB">
        <w:rPr>
          <w:rFonts w:ascii="Times New Roman" w:hAnsi="Times New Roman" w:cs="Times New Roman"/>
          <w:sz w:val="20"/>
          <w:szCs w:val="24"/>
          <w:vertAlign w:val="subscript"/>
          <w:lang w:val="en-US"/>
        </w:rPr>
        <w:t>ox</w:t>
      </w:r>
      <w:proofErr w:type="spellEnd"/>
      <w:r w:rsidRPr="00DF42EB">
        <w:rPr>
          <w:rFonts w:ascii="Times New Roman" w:hAnsi="Times New Roman" w:cs="Times New Roman"/>
          <w:sz w:val="20"/>
          <w:szCs w:val="24"/>
          <w:vertAlign w:val="subscript"/>
          <w:lang w:val="en-US"/>
        </w:rPr>
        <w:t>/red</w:t>
      </w:r>
      <w:r w:rsidRPr="00DF42EB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 xml:space="preserve"> </w:t>
      </w:r>
      <w:r w:rsidRPr="00DF42EB">
        <w:rPr>
          <w:rFonts w:ascii="Times New Roman" w:hAnsi="Times New Roman" w:cs="Times New Roman"/>
          <w:sz w:val="20"/>
          <w:szCs w:val="24"/>
          <w:lang w:val="en-US"/>
        </w:rPr>
        <w:t>± E</w:t>
      </w:r>
      <w:r w:rsidRPr="00DF42EB">
        <w:rPr>
          <w:rFonts w:ascii="Times New Roman" w:hAnsi="Times New Roman" w:cs="Times New Roman"/>
          <w:sz w:val="20"/>
          <w:szCs w:val="24"/>
          <w:vertAlign w:val="subscript"/>
          <w:lang w:val="en-US"/>
        </w:rPr>
        <w:t>00,min</w:t>
      </w:r>
      <w:r w:rsidRPr="00DF42EB">
        <w:rPr>
          <w:rFonts w:ascii="Times New Roman" w:hAnsi="Times New Roman" w:cs="Times New Roman"/>
          <w:sz w:val="20"/>
          <w:szCs w:val="24"/>
          <w:lang w:val="en-US"/>
        </w:rPr>
        <w:t xml:space="preserve"> (E</w:t>
      </w:r>
      <w:r w:rsidRPr="00DF42EB">
        <w:rPr>
          <w:rFonts w:ascii="Times New Roman" w:hAnsi="Times New Roman" w:cs="Times New Roman"/>
          <w:sz w:val="20"/>
          <w:szCs w:val="24"/>
          <w:vertAlign w:val="subscript"/>
          <w:lang w:val="en-US"/>
        </w:rPr>
        <w:t>00,min</w:t>
      </w:r>
      <w:r w:rsidRPr="00DF42EB">
        <w:rPr>
          <w:rFonts w:ascii="Times New Roman" w:hAnsi="Times New Roman" w:cs="Times New Roman"/>
          <w:sz w:val="20"/>
          <w:szCs w:val="24"/>
          <w:lang w:val="en-US"/>
        </w:rPr>
        <w:t xml:space="preserve"> is the emission energy at </w:t>
      </w:r>
      <w:r w:rsidR="0071420D">
        <w:rPr>
          <w:rFonts w:ascii="Times New Roman" w:hAnsi="Times New Roman" w:cs="Times New Roman"/>
          <w:sz w:val="20"/>
          <w:szCs w:val="24"/>
          <w:lang w:val="en-US"/>
        </w:rPr>
        <w:t>the intersection of the absorption and emission spectra</w:t>
      </w:r>
      <w:r w:rsidRPr="00DF42EB">
        <w:rPr>
          <w:rFonts w:ascii="Times New Roman" w:hAnsi="Times New Roman" w:cs="Times New Roman"/>
          <w:sz w:val="20"/>
          <w:szCs w:val="24"/>
          <w:lang w:val="en-US"/>
        </w:rPr>
        <w:t>)</w:t>
      </w:r>
      <w:r w:rsidR="00B55EC4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</w:p>
    <w:p w:rsidR="00C350BD" w:rsidRDefault="00C350BD" w:rsidP="009622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50BD">
        <w:rPr>
          <w:rFonts w:ascii="Times New Roman" w:hAnsi="Times New Roman" w:cs="Times New Roman"/>
          <w:sz w:val="24"/>
          <w:szCs w:val="24"/>
          <w:lang w:val="en-US"/>
        </w:rPr>
        <w:t>An aspect that has gre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influence on the performance </w:t>
      </w:r>
      <w:r w:rsidRPr="00C350BD">
        <w:rPr>
          <w:rFonts w:ascii="Times New Roman" w:hAnsi="Times New Roman" w:cs="Times New Roman"/>
          <w:sz w:val="24"/>
          <w:szCs w:val="24"/>
          <w:lang w:val="en-US"/>
        </w:rPr>
        <w:t>of a DSSC is the position of molec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ular orbitals with their energy </w:t>
      </w:r>
      <w:r w:rsidRPr="00C350BD">
        <w:rPr>
          <w:rFonts w:ascii="Times New Roman" w:hAnsi="Times New Roman" w:cs="Times New Roman"/>
          <w:sz w:val="24"/>
          <w:szCs w:val="24"/>
          <w:lang w:val="en-US"/>
        </w:rPr>
        <w:t>levels.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 xml:space="preserve"> Figure </w:t>
      </w:r>
      <w:r w:rsidR="00F477E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2262" w:rsidRPr="00962262">
        <w:rPr>
          <w:rFonts w:ascii="Times New Roman" w:hAnsi="Times New Roman" w:cs="Times New Roman"/>
          <w:sz w:val="24"/>
          <w:szCs w:val="24"/>
          <w:lang w:val="en-US"/>
        </w:rPr>
        <w:t>shows the HOMO and LUMO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 xml:space="preserve"> energy levels for the analyzed </w:t>
      </w:r>
      <w:r w:rsidR="00962262" w:rsidRPr="00962262">
        <w:rPr>
          <w:rFonts w:ascii="Times New Roman" w:hAnsi="Times New Roman" w:cs="Times New Roman"/>
          <w:sz w:val="24"/>
          <w:szCs w:val="24"/>
          <w:lang w:val="en-US"/>
        </w:rPr>
        <w:t>complexes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 xml:space="preserve"> and they are compared to the benchmark N719 Ru(II) dye. I</w:t>
      </w:r>
      <w:r w:rsidR="00962262" w:rsidRPr="00962262">
        <w:rPr>
          <w:rFonts w:ascii="Times New Roman" w:hAnsi="Times New Roman" w:cs="Times New Roman"/>
          <w:sz w:val="24"/>
          <w:szCs w:val="24"/>
          <w:lang w:val="en-US"/>
        </w:rPr>
        <w:t>t is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 xml:space="preserve"> possible to view that the LUMO </w:t>
      </w:r>
      <w:r w:rsidR="00962262" w:rsidRPr="00962262">
        <w:rPr>
          <w:rFonts w:ascii="Times New Roman" w:hAnsi="Times New Roman" w:cs="Times New Roman"/>
          <w:sz w:val="24"/>
          <w:szCs w:val="24"/>
          <w:lang w:val="en-US"/>
        </w:rPr>
        <w:t>energy level is above the TiO</w:t>
      </w:r>
      <w:r w:rsidR="00962262" w:rsidRPr="009622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62262" w:rsidRPr="00962262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 xml:space="preserve">nduction band and HOMO level is </w:t>
      </w:r>
      <w:r w:rsidR="00962262" w:rsidRPr="00962262">
        <w:rPr>
          <w:rFonts w:ascii="Times New Roman" w:hAnsi="Times New Roman" w:cs="Times New Roman"/>
          <w:sz w:val="24"/>
          <w:szCs w:val="24"/>
          <w:lang w:val="en-US"/>
        </w:rPr>
        <w:t>located below the redox of the electrolyte for all complexes</w:t>
      </w:r>
      <w:r w:rsidR="009622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54BA" w:rsidRDefault="008C6E7E" w:rsidP="00C154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5141FAFA" wp14:editId="7D47B814">
            <wp:extent cx="4085949" cy="248372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609" cy="248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359" w:rsidRPr="00A24359" w:rsidRDefault="00A24359" w:rsidP="00C154B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3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F477E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24359">
        <w:rPr>
          <w:rFonts w:ascii="Times New Roman" w:hAnsi="Times New Roman" w:cs="Times New Roman"/>
          <w:sz w:val="24"/>
          <w:szCs w:val="24"/>
          <w:lang w:val="en-US"/>
        </w:rPr>
        <w:t>. Molecular orbitals energy levels diagram</w:t>
      </w:r>
    </w:p>
    <w:p w:rsidR="009855A6" w:rsidRDefault="009855A6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43E" w:rsidRDefault="00A16950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2A5C7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DSSC </w:t>
      </w:r>
      <w:r w:rsidR="00B10DB6" w:rsidRPr="002A5C77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2A5C77">
        <w:rPr>
          <w:rFonts w:ascii="Times New Roman" w:hAnsi="Times New Roman" w:cs="Times New Roman"/>
          <w:b/>
          <w:sz w:val="24"/>
          <w:szCs w:val="24"/>
          <w:lang w:val="en-US"/>
        </w:rPr>
        <w:t>erformances</w:t>
      </w:r>
    </w:p>
    <w:p w:rsidR="00D83334" w:rsidRDefault="004147CC" w:rsidP="004147C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47CC">
        <w:rPr>
          <w:rFonts w:ascii="Times New Roman" w:hAnsi="Times New Roman" w:cs="Times New Roman"/>
          <w:sz w:val="24"/>
          <w:szCs w:val="24"/>
          <w:lang w:val="en-US"/>
        </w:rPr>
        <w:t>The photovoltaic perform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ance of the complex </w:t>
      </w:r>
      <w:r w:rsidRPr="004147C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DSSC </w:t>
      </w:r>
      <w:r w:rsidRPr="004147CC">
        <w:rPr>
          <w:rFonts w:ascii="Times New Roman" w:hAnsi="Times New Roman" w:cs="Times New Roman"/>
          <w:sz w:val="24"/>
          <w:szCs w:val="24"/>
          <w:lang w:val="en-US"/>
        </w:rPr>
        <w:t>are given in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 in comparison to the N719 dye.</w:t>
      </w:r>
      <w:r w:rsidR="00D833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C0BDD" w:rsidRPr="005C0BDD" w:rsidRDefault="00D83334" w:rsidP="004147C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334"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47CC" w:rsidRPr="004147CC">
        <w:rPr>
          <w:rFonts w:ascii="Times New Roman" w:hAnsi="Times New Roman" w:cs="Times New Roman"/>
          <w:sz w:val="24"/>
          <w:szCs w:val="24"/>
          <w:lang w:val="en-US"/>
        </w:rPr>
        <w:t>Photovoltaic data extracted from J v</w:t>
      </w:r>
      <w:r w:rsidR="004147CC">
        <w:rPr>
          <w:rFonts w:ascii="Times New Roman" w:hAnsi="Times New Roman" w:cs="Times New Roman"/>
          <w:sz w:val="24"/>
          <w:szCs w:val="24"/>
          <w:lang w:val="en-US"/>
        </w:rPr>
        <w:t xml:space="preserve">s. applied V measurements under </w:t>
      </w:r>
      <w:r w:rsidR="004147CC" w:rsidRPr="004147CC">
        <w:rPr>
          <w:rFonts w:ascii="Times New Roman" w:hAnsi="Times New Roman" w:cs="Times New Roman"/>
          <w:sz w:val="24"/>
          <w:szCs w:val="24"/>
          <w:lang w:val="en-US"/>
        </w:rPr>
        <w:t>simulated solar light</w:t>
      </w:r>
    </w:p>
    <w:tbl>
      <w:tblPr>
        <w:tblStyle w:val="TableGrid"/>
        <w:tblW w:w="6169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794"/>
        <w:gridCol w:w="1340"/>
        <w:gridCol w:w="739"/>
        <w:gridCol w:w="901"/>
        <w:gridCol w:w="943"/>
      </w:tblGrid>
      <w:tr w:rsidR="004F0CD2" w:rsidTr="004F0CD2">
        <w:trPr>
          <w:trHeight w:val="711"/>
          <w:jc w:val="center"/>
        </w:trPr>
        <w:tc>
          <w:tcPr>
            <w:tcW w:w="14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Pr="008E0F3C" w:rsidRDefault="004F0CD2" w:rsidP="00641FF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Complex</w:t>
            </w:r>
          </w:p>
        </w:tc>
        <w:tc>
          <w:tcPr>
            <w:tcW w:w="79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Pr="004F0CD2" w:rsidRDefault="004F0CD2" w:rsidP="004F0C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oc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(V)</w:t>
            </w:r>
          </w:p>
        </w:tc>
        <w:tc>
          <w:tcPr>
            <w:tcW w:w="1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Default="004F0CD2" w:rsidP="004F0CD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vertAlign w:val="subscript"/>
              </w:rPr>
              <w:t>sc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4F0CD2" w:rsidRPr="004F0CD2" w:rsidRDefault="004F0CD2" w:rsidP="004F0C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(mA)</w:t>
            </w:r>
          </w:p>
        </w:tc>
        <w:tc>
          <w:tcPr>
            <w:tcW w:w="73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Pr="008E0F3C" w:rsidRDefault="004F0CD2" w:rsidP="00641FF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FF</w:t>
            </w:r>
          </w:p>
        </w:tc>
        <w:tc>
          <w:tcPr>
            <w:tcW w:w="90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Pr="004F0CD2" w:rsidRDefault="004F0CD2" w:rsidP="00641FF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η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%</w:t>
            </w:r>
          </w:p>
        </w:tc>
        <w:tc>
          <w:tcPr>
            <w:tcW w:w="94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Pr="004F0CD2" w:rsidRDefault="004F0CD2" w:rsidP="004F0C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Pmax (mW)</w:t>
            </w:r>
          </w:p>
        </w:tc>
      </w:tr>
      <w:tr w:rsidR="004F0CD2" w:rsidTr="0011352E">
        <w:trPr>
          <w:trHeight w:val="402"/>
          <w:jc w:val="center"/>
        </w:trPr>
        <w:tc>
          <w:tcPr>
            <w:tcW w:w="145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F0CD2" w:rsidRPr="008E0F3C" w:rsidRDefault="004F0CD2" w:rsidP="0011352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E0F3C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F0CD2" w:rsidRPr="00C934B6" w:rsidRDefault="004F0CD2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0,487</w:t>
            </w:r>
          </w:p>
        </w:tc>
        <w:tc>
          <w:tcPr>
            <w:tcW w:w="1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F0CD2" w:rsidRPr="00C934B6" w:rsidRDefault="004F0CD2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0,167</w:t>
            </w:r>
          </w:p>
        </w:tc>
        <w:tc>
          <w:tcPr>
            <w:tcW w:w="73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F0CD2" w:rsidRPr="00C934B6" w:rsidRDefault="004F0CD2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0,587</w:t>
            </w:r>
          </w:p>
        </w:tc>
        <w:tc>
          <w:tcPr>
            <w:tcW w:w="90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F0CD2" w:rsidRPr="00C934B6" w:rsidRDefault="004F0CD2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94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F0CD2" w:rsidRPr="00C934B6" w:rsidRDefault="004F0CD2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0,0478</w:t>
            </w:r>
          </w:p>
        </w:tc>
      </w:tr>
      <w:tr w:rsidR="004F0CD2" w:rsidTr="0011352E">
        <w:trPr>
          <w:trHeight w:val="402"/>
          <w:jc w:val="center"/>
        </w:trPr>
        <w:tc>
          <w:tcPr>
            <w:tcW w:w="1452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F0CD2" w:rsidRPr="008E0F3C" w:rsidRDefault="004F0CD2" w:rsidP="0011352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N719</w:t>
            </w:r>
          </w:p>
        </w:tc>
        <w:tc>
          <w:tcPr>
            <w:tcW w:w="79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:rsidR="004F0CD2" w:rsidRPr="00C934B6" w:rsidRDefault="00C934B6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1340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:rsidR="004F0CD2" w:rsidRPr="00C934B6" w:rsidRDefault="00C934B6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739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:rsidR="004F0CD2" w:rsidRPr="00C934B6" w:rsidRDefault="00C934B6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0,582</w:t>
            </w:r>
          </w:p>
        </w:tc>
        <w:tc>
          <w:tcPr>
            <w:tcW w:w="90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:rsidR="004F0CD2" w:rsidRPr="00C934B6" w:rsidRDefault="00C934B6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7,22</w:t>
            </w:r>
          </w:p>
        </w:tc>
        <w:tc>
          <w:tcPr>
            <w:tcW w:w="943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:rsidR="004F0CD2" w:rsidRPr="00C934B6" w:rsidRDefault="00C934B6" w:rsidP="0011352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34B6">
              <w:rPr>
                <w:rFonts w:ascii="Times New Roman" w:hAnsi="Times New Roman" w:cs="Times New Roman"/>
                <w:color w:val="000000"/>
              </w:rPr>
              <w:t>2,6577</w:t>
            </w:r>
          </w:p>
        </w:tc>
      </w:tr>
    </w:tbl>
    <w:p w:rsidR="00492558" w:rsidRDefault="00492558" w:rsidP="00CC2B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47CC" w:rsidRPr="004147CC" w:rsidRDefault="004F0CD2" w:rsidP="004147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40A993A3" wp14:editId="214E1D9A">
            <wp:extent cx="3577626" cy="2567866"/>
            <wp:effectExtent l="0" t="0" r="381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626" cy="256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7CC" w:rsidRPr="004147CC" w:rsidRDefault="004147CC" w:rsidP="004147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8. </w:t>
      </w:r>
      <w:r w:rsidR="004F0CD2">
        <w:rPr>
          <w:rFonts w:ascii="Times New Roman" w:hAnsi="Times New Roman" w:cs="Times New Roman"/>
          <w:sz w:val="24"/>
          <w:szCs w:val="24"/>
          <w:lang w:val="en-US"/>
        </w:rPr>
        <w:t xml:space="preserve">J vs. V curves for </w:t>
      </w:r>
      <w:proofErr w:type="spellStart"/>
      <w:r w:rsidR="004F0CD2">
        <w:rPr>
          <w:rFonts w:ascii="Times New Roman" w:hAnsi="Times New Roman" w:cs="Times New Roman"/>
          <w:sz w:val="24"/>
          <w:szCs w:val="24"/>
          <w:lang w:val="en-US"/>
        </w:rPr>
        <w:t>compex</w:t>
      </w:r>
      <w:proofErr w:type="spellEnd"/>
      <w:r w:rsidR="004F0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CD2" w:rsidRPr="004F0CD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1760DE" w:rsidRDefault="001760DE" w:rsidP="00CC2B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60DE">
        <w:rPr>
          <w:rFonts w:ascii="Times New Roman" w:hAnsi="Times New Roman" w:cs="Times New Roman"/>
          <w:sz w:val="24"/>
          <w:szCs w:val="24"/>
          <w:lang w:val="en-US"/>
        </w:rPr>
        <w:t>In conclusion, we have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resented the synthesis of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homoleptic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[Cu(NN)</w:t>
      </w:r>
      <w:r w:rsidRPr="001760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1760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1760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(1) and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heteroleptic</w:t>
      </w:r>
      <w:proofErr w:type="spellEnd"/>
      <w:r w:rsidR="00E32F37">
        <w:rPr>
          <w:rFonts w:ascii="Times New Roman" w:hAnsi="Times New Roman" w:cs="Times New Roman"/>
          <w:sz w:val="24"/>
          <w:szCs w:val="24"/>
          <w:lang w:val="en-US"/>
        </w:rPr>
        <w:t xml:space="preserve"> [Cu(NN)(PP)]</w:t>
      </w:r>
      <w:r w:rsidR="00E32F37" w:rsidRPr="001760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(2) copper complex</w:t>
      </w:r>
      <w:r w:rsidRPr="001760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containing sulfonate </w:t>
      </w:r>
      <w:r w:rsidRPr="001760DE">
        <w:rPr>
          <w:rFonts w:ascii="Times New Roman" w:hAnsi="Times New Roman" w:cs="Times New Roman"/>
          <w:sz w:val="24"/>
          <w:szCs w:val="24"/>
          <w:lang w:val="en-US"/>
        </w:rPr>
        <w:t>linkers as anchor groups. Subsequently, these substances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60DE">
        <w:rPr>
          <w:rFonts w:ascii="Times New Roman" w:hAnsi="Times New Roman" w:cs="Times New Roman"/>
          <w:sz w:val="24"/>
          <w:szCs w:val="24"/>
          <w:lang w:val="en-US"/>
        </w:rPr>
        <w:t>were immobilized on TiO</w:t>
      </w:r>
      <w:r w:rsidRPr="00E32F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32F37">
        <w:rPr>
          <w:rFonts w:ascii="Times New Roman" w:hAnsi="Times New Roman" w:cs="Times New Roman"/>
          <w:sz w:val="24"/>
          <w:szCs w:val="24"/>
          <w:lang w:val="en-US"/>
        </w:rPr>
        <w:t xml:space="preserve"> semiconductor in order to achieve light-triggered electron injection </w:t>
      </w:r>
      <w:r w:rsidR="00E32F37" w:rsidRPr="00E32F37">
        <w:rPr>
          <w:rFonts w:ascii="Times New Roman" w:hAnsi="Times New Roman" w:cs="Times New Roman"/>
          <w:sz w:val="24"/>
          <w:szCs w:val="24"/>
          <w:lang w:val="en-US"/>
        </w:rPr>
        <w:t>from the copper sensitizer into the conduction band of TiO</w:t>
      </w:r>
      <w:r w:rsidR="00E32F37" w:rsidRPr="00E32F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32F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0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2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0181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="007F528C">
        <w:rPr>
          <w:rFonts w:ascii="Times New Roman" w:hAnsi="Times New Roman" w:cs="Times New Roman"/>
          <w:sz w:val="24"/>
          <w:szCs w:val="24"/>
          <w:lang w:val="en-US"/>
        </w:rPr>
        <w:t xml:space="preserve"> of the DSSC performances</w:t>
      </w:r>
      <w:r w:rsidR="00390181">
        <w:rPr>
          <w:rFonts w:ascii="Times New Roman" w:hAnsi="Times New Roman" w:cs="Times New Roman"/>
          <w:sz w:val="24"/>
          <w:szCs w:val="24"/>
          <w:lang w:val="en-US"/>
        </w:rPr>
        <w:t xml:space="preserve"> reinforce the belief </w:t>
      </w:r>
      <w:r w:rsidR="00390181" w:rsidRPr="00390181">
        <w:rPr>
          <w:rFonts w:ascii="Times New Roman" w:hAnsi="Times New Roman" w:cs="Times New Roman"/>
          <w:sz w:val="24"/>
          <w:szCs w:val="24"/>
          <w:lang w:val="en-US"/>
        </w:rPr>
        <w:lastRenderedPageBreak/>
        <w:t>that</w:t>
      </w:r>
      <w:r w:rsidR="00CC2B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2BAB" w:rsidRPr="00CC2BAB">
        <w:rPr>
          <w:rFonts w:ascii="Times New Roman" w:hAnsi="Times New Roman" w:cs="Times New Roman"/>
          <w:sz w:val="24"/>
          <w:szCs w:val="24"/>
          <w:lang w:val="en-US"/>
        </w:rPr>
        <w:t>Cu(I)-based complexes</w:t>
      </w:r>
      <w:r w:rsidR="00CC2B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2BAB" w:rsidRPr="00CC2BAB">
        <w:rPr>
          <w:rFonts w:ascii="Times New Roman" w:hAnsi="Times New Roman" w:cs="Times New Roman"/>
          <w:sz w:val="24"/>
          <w:szCs w:val="24"/>
          <w:lang w:val="en-US"/>
        </w:rPr>
        <w:t>with iterative chemical optimizatio</w:t>
      </w:r>
      <w:r w:rsidR="00CC2BA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90181" w:rsidRPr="00390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2BAB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CC2BAB" w:rsidRPr="00CC2BAB">
        <w:rPr>
          <w:rFonts w:ascii="Times New Roman" w:hAnsi="Times New Roman" w:cs="Times New Roman"/>
          <w:sz w:val="24"/>
          <w:szCs w:val="24"/>
          <w:lang w:val="en-US"/>
        </w:rPr>
        <w:t xml:space="preserve">be competent to provide promising </w:t>
      </w:r>
      <w:r w:rsidR="00CC2BAB">
        <w:rPr>
          <w:rFonts w:ascii="Times New Roman" w:hAnsi="Times New Roman" w:cs="Times New Roman"/>
          <w:sz w:val="24"/>
          <w:szCs w:val="24"/>
          <w:lang w:val="en-US"/>
        </w:rPr>
        <w:t xml:space="preserve">sensitizers for next-generation </w:t>
      </w:r>
      <w:r w:rsidR="00CC2BAB" w:rsidRPr="00CC2BAB">
        <w:rPr>
          <w:rFonts w:ascii="Times New Roman" w:hAnsi="Times New Roman" w:cs="Times New Roman"/>
          <w:sz w:val="24"/>
          <w:szCs w:val="24"/>
          <w:lang w:val="en-US"/>
        </w:rPr>
        <w:t>DSSCs</w:t>
      </w:r>
      <w:r w:rsidR="00CC2B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4C63" w:rsidRPr="00534C63" w:rsidRDefault="00534C63" w:rsidP="00534C6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4C63">
        <w:rPr>
          <w:rFonts w:ascii="Times New Roman" w:hAnsi="Times New Roman" w:cs="Times New Roman"/>
          <w:b/>
          <w:sz w:val="24"/>
          <w:szCs w:val="24"/>
          <w:lang w:val="en-US"/>
        </w:rPr>
        <w:t>Acknowledgments</w:t>
      </w:r>
    </w:p>
    <w:p w:rsidR="00534C63" w:rsidRPr="00534C63" w:rsidRDefault="00534C63" w:rsidP="00534C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4C63">
        <w:rPr>
          <w:rFonts w:ascii="Times New Roman" w:hAnsi="Times New Roman" w:cs="Times New Roman"/>
          <w:sz w:val="24"/>
          <w:szCs w:val="24"/>
          <w:lang w:val="en-US"/>
        </w:rPr>
        <w:t>Financial support from Special Research Account of NKUA and the Master of Science Program 'Inorganic Chemistry and its Application to Industry' is gratefully acknowledged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243E" w:rsidRDefault="00EC243E" w:rsidP="00902D6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243E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2F30C8" w:rsidRDefault="002F30C8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Leitner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Quadrelli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A.,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Schlögl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R., Green Chem.,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sz w:val="24"/>
          <w:szCs w:val="24"/>
          <w:lang w:val="en-US"/>
        </w:rPr>
        <w:t>, 19(10), 2307-2308.</w:t>
      </w:r>
    </w:p>
    <w:p w:rsidR="00C154BA" w:rsidRDefault="00C154BA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Gray, H. B., </w:t>
      </w:r>
      <w:r w:rsidRPr="00C154BA">
        <w:rPr>
          <w:rFonts w:ascii="Times New Roman" w:hAnsi="Times New Roman" w:cs="Times New Roman"/>
          <w:sz w:val="24"/>
          <w:szCs w:val="24"/>
          <w:lang w:val="en-US"/>
        </w:rPr>
        <w:t>Nature chemistry,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54BA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154BA">
        <w:rPr>
          <w:rFonts w:ascii="Times New Roman" w:hAnsi="Times New Roman" w:cs="Times New Roman"/>
          <w:sz w:val="24"/>
          <w:szCs w:val="24"/>
          <w:lang w:val="en-US"/>
        </w:rPr>
        <w:t xml:space="preserve"> 1(1), 7-7.</w:t>
      </w:r>
    </w:p>
    <w:p w:rsidR="00C073A3" w:rsidRDefault="00C073A3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Grätzel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r w:rsidRPr="00C073A3">
        <w:rPr>
          <w:rFonts w:ascii="Times New Roman" w:hAnsi="Times New Roman" w:cs="Times New Roman"/>
          <w:sz w:val="24"/>
          <w:szCs w:val="24"/>
          <w:lang w:val="en-US"/>
        </w:rPr>
        <w:t>Inorganic chemistry,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3A3">
        <w:rPr>
          <w:rFonts w:ascii="Times New Roman" w:hAnsi="Times New Roman" w:cs="Times New Roman"/>
          <w:b/>
          <w:sz w:val="24"/>
          <w:szCs w:val="24"/>
          <w:lang w:val="en-US"/>
        </w:rPr>
        <w:t>2005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073A3">
        <w:rPr>
          <w:rFonts w:ascii="Times New Roman" w:hAnsi="Times New Roman" w:cs="Times New Roman"/>
          <w:sz w:val="24"/>
          <w:szCs w:val="24"/>
          <w:lang w:val="en-US"/>
        </w:rPr>
        <w:t xml:space="preserve"> 44(20), 6841-6851.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54BA" w:rsidRDefault="00C154BA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73A3">
        <w:rPr>
          <w:rFonts w:ascii="Times New Roman" w:hAnsi="Times New Roman" w:cs="Times New Roman"/>
          <w:sz w:val="24"/>
          <w:szCs w:val="24"/>
          <w:lang w:val="en-US"/>
        </w:rPr>
        <w:t xml:space="preserve">Tee, S. Y., Win, K. Y., Teo, W. S., </w:t>
      </w:r>
      <w:proofErr w:type="spellStart"/>
      <w:r w:rsidRPr="00C073A3">
        <w:rPr>
          <w:rFonts w:ascii="Times New Roman" w:hAnsi="Times New Roman" w:cs="Times New Roman"/>
          <w:sz w:val="24"/>
          <w:szCs w:val="24"/>
          <w:lang w:val="en-US"/>
        </w:rPr>
        <w:t>Koh</w:t>
      </w:r>
      <w:proofErr w:type="spellEnd"/>
      <w:r w:rsidRPr="00C073A3">
        <w:rPr>
          <w:rFonts w:ascii="Times New Roman" w:hAnsi="Times New Roman" w:cs="Times New Roman"/>
          <w:sz w:val="24"/>
          <w:szCs w:val="24"/>
          <w:lang w:val="en-US"/>
        </w:rPr>
        <w:t>, L. D., Liu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C. P., &amp; Han, M. Y., Advanced Science, </w:t>
      </w:r>
      <w:r w:rsidRPr="00C073A3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54BA" w:rsidRDefault="00C154BA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73A3">
        <w:rPr>
          <w:rFonts w:ascii="Times New Roman" w:hAnsi="Times New Roman" w:cs="Times New Roman"/>
          <w:sz w:val="24"/>
          <w:szCs w:val="24"/>
          <w:lang w:val="en-US"/>
        </w:rPr>
        <w:t xml:space="preserve">Gong, J., </w:t>
      </w:r>
      <w:proofErr w:type="spellStart"/>
      <w:r w:rsidRPr="00C073A3">
        <w:rPr>
          <w:rFonts w:ascii="Times New Roman" w:hAnsi="Times New Roman" w:cs="Times New Roman"/>
          <w:sz w:val="24"/>
          <w:szCs w:val="24"/>
          <w:lang w:val="en-US"/>
        </w:rPr>
        <w:t>Sumathy</w:t>
      </w:r>
      <w:proofErr w:type="spellEnd"/>
      <w:r w:rsidRPr="00C073A3"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C073A3">
        <w:rPr>
          <w:rFonts w:ascii="Times New Roman" w:hAnsi="Times New Roman" w:cs="Times New Roman"/>
          <w:sz w:val="24"/>
          <w:szCs w:val="24"/>
          <w:lang w:val="en-US"/>
        </w:rPr>
        <w:t>Qiao</w:t>
      </w:r>
      <w:proofErr w:type="spellEnd"/>
      <w:r w:rsidRPr="00C073A3">
        <w:rPr>
          <w:rFonts w:ascii="Times New Roman" w:hAnsi="Times New Roman" w:cs="Times New Roman"/>
          <w:sz w:val="24"/>
          <w:szCs w:val="24"/>
          <w:lang w:val="en-US"/>
        </w:rPr>
        <w:t>, Q., &amp; Zhou, Z.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1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3A3">
        <w:rPr>
          <w:rFonts w:ascii="Times New Roman" w:hAnsi="Times New Roman" w:cs="Times New Roman"/>
          <w:sz w:val="24"/>
          <w:szCs w:val="24"/>
          <w:lang w:val="en-US"/>
        </w:rPr>
        <w:t>Renewable and Sustainable Energy Reviews,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3A3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073A3">
        <w:rPr>
          <w:rFonts w:ascii="Times New Roman" w:hAnsi="Times New Roman" w:cs="Times New Roman"/>
          <w:sz w:val="24"/>
          <w:szCs w:val="24"/>
          <w:lang w:val="en-US"/>
        </w:rPr>
        <w:t xml:space="preserve"> 68, 234-246.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7045" w:rsidRPr="00A87045" w:rsidRDefault="00A87045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045">
        <w:rPr>
          <w:rFonts w:ascii="Times New Roman" w:hAnsi="Times New Roman" w:cs="Times New Roman"/>
          <w:sz w:val="24"/>
          <w:szCs w:val="24"/>
          <w:lang w:val="en-US"/>
        </w:rPr>
        <w:t xml:space="preserve">B. C. </w:t>
      </w:r>
      <w:proofErr w:type="spellStart"/>
      <w:r w:rsidRPr="00A87045">
        <w:rPr>
          <w:rFonts w:ascii="Times New Roman" w:hAnsi="Times New Roman" w:cs="Times New Roman"/>
          <w:sz w:val="24"/>
          <w:szCs w:val="24"/>
          <w:lang w:val="en-US"/>
        </w:rPr>
        <w:t>O’Regan</w:t>
      </w:r>
      <w:proofErr w:type="spellEnd"/>
      <w:r w:rsidRPr="00A87045">
        <w:rPr>
          <w:rFonts w:ascii="Times New Roman" w:hAnsi="Times New Roman" w:cs="Times New Roman"/>
          <w:sz w:val="24"/>
          <w:szCs w:val="24"/>
          <w:lang w:val="en-US"/>
        </w:rPr>
        <w:t xml:space="preserve"> and M. </w:t>
      </w:r>
      <w:proofErr w:type="spellStart"/>
      <w:r w:rsidRPr="00A87045">
        <w:rPr>
          <w:rFonts w:ascii="Times New Roman" w:hAnsi="Times New Roman" w:cs="Times New Roman"/>
          <w:sz w:val="24"/>
          <w:szCs w:val="24"/>
          <w:lang w:val="en-US"/>
        </w:rPr>
        <w:t>Gr</w:t>
      </w:r>
      <w:r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A87045">
        <w:rPr>
          <w:rFonts w:ascii="Times New Roman" w:hAnsi="Times New Roman" w:cs="Times New Roman"/>
          <w:sz w:val="24"/>
          <w:szCs w:val="24"/>
          <w:lang w:val="en-US"/>
        </w:rPr>
        <w:t>tzel</w:t>
      </w:r>
      <w:proofErr w:type="spellEnd"/>
      <w:r w:rsidRPr="00A8704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045">
        <w:rPr>
          <w:rFonts w:ascii="Times New Roman" w:hAnsi="Times New Roman" w:cs="Times New Roman"/>
          <w:sz w:val="24"/>
          <w:szCs w:val="24"/>
          <w:lang w:val="en-US"/>
        </w:rPr>
        <w:t xml:space="preserve">Nature, </w:t>
      </w:r>
      <w:r w:rsidRPr="00A87045">
        <w:rPr>
          <w:rFonts w:ascii="Times New Roman" w:hAnsi="Times New Roman" w:cs="Times New Roman"/>
          <w:b/>
          <w:sz w:val="24"/>
          <w:szCs w:val="24"/>
          <w:lang w:val="en-US"/>
        </w:rPr>
        <w:t>1991</w:t>
      </w:r>
      <w:r w:rsidRPr="00A87045">
        <w:rPr>
          <w:rFonts w:ascii="Times New Roman" w:hAnsi="Times New Roman" w:cs="Times New Roman"/>
          <w:sz w:val="24"/>
          <w:szCs w:val="24"/>
          <w:lang w:val="en-US"/>
        </w:rPr>
        <w:t>, 353, 737–740</w:t>
      </w:r>
    </w:p>
    <w:p w:rsidR="00A87045" w:rsidRPr="00A87045" w:rsidRDefault="00271388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Bella, F., </w:t>
      </w:r>
      <w:proofErr w:type="spellStart"/>
      <w:r w:rsidRPr="00271388">
        <w:rPr>
          <w:rFonts w:ascii="Times New Roman" w:hAnsi="Times New Roman" w:cs="Times New Roman"/>
          <w:sz w:val="24"/>
          <w:szCs w:val="24"/>
          <w:lang w:val="en-US"/>
        </w:rPr>
        <w:t>Gerbaldi</w:t>
      </w:r>
      <w:proofErr w:type="spellEnd"/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, C., Barolo, C., </w:t>
      </w:r>
      <w:proofErr w:type="spellStart"/>
      <w:r w:rsidRPr="00271388">
        <w:rPr>
          <w:rFonts w:ascii="Times New Roman" w:hAnsi="Times New Roman" w:cs="Times New Roman"/>
          <w:sz w:val="24"/>
          <w:szCs w:val="24"/>
          <w:lang w:val="en-US"/>
        </w:rPr>
        <w:t>Grätzel</w:t>
      </w:r>
      <w:proofErr w:type="spellEnd"/>
      <w:r w:rsidRPr="00271388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A870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>Chem. Soc. Rev.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7045" w:rsidRPr="00A8704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="00A87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>44(11), 3431-3473.</w:t>
      </w:r>
    </w:p>
    <w:p w:rsidR="00FC39DD" w:rsidRPr="00FC39DD" w:rsidRDefault="00FC39DD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9DD">
        <w:rPr>
          <w:rFonts w:ascii="Times New Roman" w:hAnsi="Times New Roman" w:cs="Times New Roman"/>
          <w:sz w:val="24"/>
          <w:szCs w:val="24"/>
          <w:lang w:val="en-US"/>
        </w:rPr>
        <w:t>Watson, D. F.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Meyer, G.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39DD">
        <w:rPr>
          <w:rFonts w:ascii="Times New Roman" w:hAnsi="Times New Roman" w:cs="Times New Roman"/>
          <w:sz w:val="24"/>
          <w:szCs w:val="24"/>
          <w:lang w:val="en-US"/>
        </w:rPr>
        <w:t>Annu</w:t>
      </w:r>
      <w:proofErr w:type="spellEnd"/>
      <w:r w:rsidRPr="00FC39DD">
        <w:rPr>
          <w:rFonts w:ascii="Times New Roman" w:hAnsi="Times New Roman" w:cs="Times New Roman"/>
          <w:sz w:val="24"/>
          <w:szCs w:val="24"/>
          <w:lang w:val="en-US"/>
        </w:rPr>
        <w:t>. Rev. Phys. Chem.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39DD">
        <w:rPr>
          <w:rFonts w:ascii="Times New Roman" w:hAnsi="Times New Roman" w:cs="Times New Roman"/>
          <w:b/>
          <w:sz w:val="24"/>
          <w:szCs w:val="24"/>
          <w:lang w:val="en-US"/>
        </w:rPr>
        <w:t>2005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>, 56, 119–156.</w:t>
      </w:r>
    </w:p>
    <w:p w:rsidR="00FC39DD" w:rsidRPr="00FC39DD" w:rsidRDefault="00FC39DD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9DD">
        <w:rPr>
          <w:rFonts w:ascii="Times New Roman" w:hAnsi="Times New Roman" w:cs="Times New Roman"/>
          <w:sz w:val="24"/>
          <w:szCs w:val="24"/>
          <w:lang w:val="en-US"/>
        </w:rPr>
        <w:t>Anderson, A. Y.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Barnes, R. F.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39DD">
        <w:rPr>
          <w:rFonts w:ascii="Times New Roman" w:hAnsi="Times New Roman" w:cs="Times New Roman"/>
          <w:sz w:val="24"/>
          <w:szCs w:val="24"/>
          <w:lang w:val="en-US"/>
        </w:rPr>
        <w:t>Durrant</w:t>
      </w:r>
      <w:proofErr w:type="spellEnd"/>
      <w:r w:rsidRPr="00FC39DD">
        <w:rPr>
          <w:rFonts w:ascii="Times New Roman" w:hAnsi="Times New Roman" w:cs="Times New Roman"/>
          <w:sz w:val="24"/>
          <w:szCs w:val="24"/>
          <w:lang w:val="en-US"/>
        </w:rPr>
        <w:t>, J. R.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O ’</w:t>
      </w:r>
      <w:proofErr w:type="spellStart"/>
      <w:r w:rsidRPr="00FC39DD">
        <w:rPr>
          <w:rFonts w:ascii="Times New Roman" w:hAnsi="Times New Roman" w:cs="Times New Roman"/>
          <w:sz w:val="24"/>
          <w:szCs w:val="24"/>
          <w:lang w:val="en-US"/>
        </w:rPr>
        <w:t>regan</w:t>
      </w:r>
      <w:proofErr w:type="spellEnd"/>
      <w:r w:rsidRPr="00FC39DD">
        <w:rPr>
          <w:rFonts w:ascii="Times New Roman" w:hAnsi="Times New Roman" w:cs="Times New Roman"/>
          <w:sz w:val="24"/>
          <w:szCs w:val="24"/>
          <w:lang w:val="en-US"/>
        </w:rPr>
        <w:t>, B. C.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 xml:space="preserve"> J. Phys. Chem. C </w:t>
      </w:r>
      <w:r w:rsidRPr="00FC39DD">
        <w:rPr>
          <w:rFonts w:ascii="Times New Roman" w:hAnsi="Times New Roman" w:cs="Times New Roman"/>
          <w:b/>
          <w:sz w:val="24"/>
          <w:szCs w:val="24"/>
          <w:lang w:val="en-US"/>
        </w:rPr>
        <w:t>2011</w:t>
      </w:r>
      <w:r w:rsidRPr="00FC39DD">
        <w:rPr>
          <w:rFonts w:ascii="Times New Roman" w:hAnsi="Times New Roman" w:cs="Times New Roman"/>
          <w:sz w:val="24"/>
          <w:szCs w:val="24"/>
          <w:lang w:val="en-US"/>
        </w:rPr>
        <w:t>, 115, 2439–2447</w:t>
      </w:r>
      <w:r w:rsidR="004D13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1388" w:rsidRDefault="00271388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388">
        <w:rPr>
          <w:rFonts w:ascii="Times New Roman" w:hAnsi="Times New Roman" w:cs="Times New Roman"/>
          <w:sz w:val="24"/>
          <w:szCs w:val="24"/>
          <w:lang w:val="en-US"/>
        </w:rPr>
        <w:t>Zhang, L., Cole, J. 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 ACS applied materials &amp; interfaces,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388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1388">
        <w:rPr>
          <w:rFonts w:ascii="Times New Roman" w:hAnsi="Times New Roman" w:cs="Times New Roman"/>
          <w:sz w:val="24"/>
          <w:szCs w:val="24"/>
          <w:lang w:val="en-US"/>
        </w:rPr>
        <w:t xml:space="preserve"> 7(6), 3427-3455.</w:t>
      </w:r>
    </w:p>
    <w:p w:rsidR="002F30C8" w:rsidRDefault="002F30C8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lastRenderedPageBreak/>
        <w:t>Nazeeruddin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M. K.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De Angelis, F.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t>Fantacci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t>Selloni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A.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t>Viscardi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G.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t>Liska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Ito, S.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t>Takeru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B.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C8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>tzel</w:t>
      </w:r>
      <w:proofErr w:type="spellEnd"/>
      <w:r w:rsidRPr="002F30C8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7E99" w:rsidRPr="00C073A3">
        <w:rPr>
          <w:rFonts w:ascii="Times New Roman" w:hAnsi="Times New Roman" w:cs="Times New Roman"/>
          <w:b/>
          <w:sz w:val="24"/>
          <w:szCs w:val="24"/>
          <w:lang w:val="en-US"/>
        </w:rPr>
        <w:t>2005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 xml:space="preserve"> J. Am. Chem. Soc., 127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>(48)</w:t>
      </w:r>
      <w:r w:rsidRPr="002F30C8">
        <w:rPr>
          <w:rFonts w:ascii="Times New Roman" w:hAnsi="Times New Roman" w:cs="Times New Roman"/>
          <w:sz w:val="24"/>
          <w:szCs w:val="24"/>
          <w:lang w:val="en-US"/>
        </w:rPr>
        <w:t>, 16835</w:t>
      </w:r>
      <w:r w:rsidR="00407E99">
        <w:rPr>
          <w:rFonts w:ascii="Times New Roman" w:hAnsi="Times New Roman" w:cs="Times New Roman"/>
          <w:sz w:val="24"/>
          <w:szCs w:val="24"/>
          <w:lang w:val="en-US"/>
        </w:rPr>
        <w:t xml:space="preserve">-16847. </w:t>
      </w:r>
    </w:p>
    <w:p w:rsidR="00EC243E" w:rsidRDefault="00D161EC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Lazorski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 S., Castellano, F. N., </w:t>
      </w:r>
      <w:r w:rsidRPr="00D161EC">
        <w:rPr>
          <w:rFonts w:ascii="Times New Roman" w:hAnsi="Times New Roman" w:cs="Times New Roman"/>
          <w:sz w:val="24"/>
          <w:szCs w:val="24"/>
          <w:lang w:val="en-US"/>
        </w:rPr>
        <w:t>Polyhedron,</w:t>
      </w:r>
      <w:r w:rsidR="00317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B5E" w:rsidRPr="00317B5E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="00317B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61EC">
        <w:rPr>
          <w:rFonts w:ascii="Times New Roman" w:hAnsi="Times New Roman" w:cs="Times New Roman"/>
          <w:sz w:val="24"/>
          <w:szCs w:val="24"/>
          <w:lang w:val="en-US"/>
        </w:rPr>
        <w:t xml:space="preserve"> 82, 57-70</w:t>
      </w:r>
      <w:r w:rsidR="001935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005F" w:rsidRDefault="0055005F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5005F">
        <w:rPr>
          <w:rFonts w:ascii="Times New Roman" w:hAnsi="Times New Roman" w:cs="Times New Roman"/>
          <w:sz w:val="24"/>
          <w:szCs w:val="24"/>
          <w:lang w:val="en-US"/>
        </w:rPr>
        <w:t>Housecroft</w:t>
      </w:r>
      <w:proofErr w:type="spellEnd"/>
      <w:r w:rsidRPr="0055005F">
        <w:rPr>
          <w:rFonts w:ascii="Times New Roman" w:hAnsi="Times New Roman" w:cs="Times New Roman"/>
          <w:sz w:val="24"/>
          <w:szCs w:val="24"/>
          <w:lang w:val="en-US"/>
        </w:rPr>
        <w:t>, C. E., Constable, E.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566E">
        <w:rPr>
          <w:rFonts w:ascii="Times New Roman" w:hAnsi="Times New Roman" w:cs="Times New Roman"/>
          <w:sz w:val="24"/>
          <w:szCs w:val="24"/>
          <w:lang w:val="en-US"/>
        </w:rPr>
        <w:t>Chem. Soc. Rev.</w:t>
      </w:r>
      <w:r w:rsidRPr="0055005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05F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005F">
        <w:rPr>
          <w:rFonts w:ascii="Times New Roman" w:hAnsi="Times New Roman" w:cs="Times New Roman"/>
          <w:sz w:val="24"/>
          <w:szCs w:val="24"/>
          <w:lang w:val="en-US"/>
        </w:rPr>
        <w:t xml:space="preserve"> 44(23), 8386-8398.</w:t>
      </w:r>
    </w:p>
    <w:p w:rsidR="009B566E" w:rsidRDefault="009B566E" w:rsidP="006B06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566E">
        <w:rPr>
          <w:rFonts w:ascii="Times New Roman" w:hAnsi="Times New Roman" w:cs="Times New Roman"/>
          <w:sz w:val="24"/>
          <w:szCs w:val="24"/>
          <w:lang w:val="en-US"/>
        </w:rPr>
        <w:t>Sandroni</w:t>
      </w:r>
      <w:proofErr w:type="spellEnd"/>
      <w:r w:rsidRPr="009B566E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9B566E">
        <w:rPr>
          <w:rFonts w:ascii="Times New Roman" w:hAnsi="Times New Roman" w:cs="Times New Roman"/>
          <w:sz w:val="24"/>
          <w:szCs w:val="24"/>
          <w:lang w:val="en-US"/>
        </w:rPr>
        <w:t>Pellegrin</w:t>
      </w:r>
      <w:proofErr w:type="spellEnd"/>
      <w:r w:rsidRPr="009B566E">
        <w:rPr>
          <w:rFonts w:ascii="Times New Roman" w:hAnsi="Times New Roman" w:cs="Times New Roman"/>
          <w:sz w:val="24"/>
          <w:szCs w:val="24"/>
          <w:lang w:val="en-US"/>
        </w:rPr>
        <w:t xml:space="preserve">, Y., </w:t>
      </w:r>
      <w:proofErr w:type="spellStart"/>
      <w:r w:rsidRPr="009B566E">
        <w:rPr>
          <w:rFonts w:ascii="Times New Roman" w:hAnsi="Times New Roman" w:cs="Times New Roman"/>
          <w:sz w:val="24"/>
          <w:szCs w:val="24"/>
          <w:lang w:val="en-US"/>
        </w:rPr>
        <w:t>Odobel</w:t>
      </w:r>
      <w:proofErr w:type="spellEnd"/>
      <w:r w:rsidRPr="009B566E">
        <w:rPr>
          <w:rFonts w:ascii="Times New Roman" w:hAnsi="Times New Roman" w:cs="Times New Roman"/>
          <w:sz w:val="24"/>
          <w:szCs w:val="24"/>
          <w:lang w:val="en-US"/>
        </w:rPr>
        <w:t>, F.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B566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566E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5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66E">
        <w:rPr>
          <w:rFonts w:ascii="Times New Roman" w:hAnsi="Times New Roman" w:cs="Times New Roman"/>
          <w:sz w:val="24"/>
          <w:szCs w:val="24"/>
          <w:lang w:val="en-US"/>
        </w:rPr>
        <w:t>Chimie</w:t>
      </w:r>
      <w:proofErr w:type="spellEnd"/>
      <w:r w:rsidRPr="009B566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66E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B566E">
        <w:rPr>
          <w:rFonts w:ascii="Times New Roman" w:hAnsi="Times New Roman" w:cs="Times New Roman"/>
          <w:sz w:val="24"/>
          <w:szCs w:val="24"/>
          <w:lang w:val="en-US"/>
        </w:rPr>
        <w:t xml:space="preserve"> 19(1), 79-93.</w:t>
      </w:r>
    </w:p>
    <w:p w:rsidR="006B06C3" w:rsidRPr="009855A6" w:rsidRDefault="006B06C3" w:rsidP="009855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06C3">
        <w:rPr>
          <w:rFonts w:ascii="Times New Roman" w:hAnsi="Times New Roman" w:cs="Times New Roman"/>
          <w:sz w:val="24"/>
          <w:szCs w:val="24"/>
          <w:lang w:val="en-US"/>
        </w:rPr>
        <w:t>Yang, L., Feng, J. K., Ren, A. M., Zhang, M.</w:t>
      </w:r>
      <w:r>
        <w:rPr>
          <w:rFonts w:ascii="Times New Roman" w:hAnsi="Times New Roman" w:cs="Times New Roman"/>
          <w:sz w:val="24"/>
          <w:szCs w:val="24"/>
          <w:lang w:val="en-US"/>
        </w:rPr>
        <w:t>, Ma, Y. G.,</w:t>
      </w:r>
      <w:r w:rsidRPr="006B06C3">
        <w:rPr>
          <w:rFonts w:ascii="Times New Roman" w:hAnsi="Times New Roman" w:cs="Times New Roman"/>
          <w:sz w:val="24"/>
          <w:szCs w:val="24"/>
          <w:lang w:val="en-US"/>
        </w:rPr>
        <w:t xml:space="preserve"> Liu, X. D.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B06C3">
        <w:rPr>
          <w:rFonts w:ascii="Times New Roman" w:hAnsi="Times New Roman" w:cs="Times New Roman"/>
          <w:sz w:val="24"/>
          <w:szCs w:val="24"/>
          <w:lang w:val="en-US"/>
        </w:rPr>
        <w:t xml:space="preserve"> Eur. J. </w:t>
      </w:r>
      <w:proofErr w:type="spellStart"/>
      <w:r w:rsidRPr="006B06C3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Pr="006B06C3">
        <w:rPr>
          <w:rFonts w:ascii="Times New Roman" w:hAnsi="Times New Roman" w:cs="Times New Roman"/>
          <w:sz w:val="24"/>
          <w:szCs w:val="24"/>
          <w:lang w:val="en-US"/>
        </w:rPr>
        <w:t>. Chem.,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06C3">
        <w:rPr>
          <w:rFonts w:ascii="Times New Roman" w:hAnsi="Times New Roman" w:cs="Times New Roman"/>
          <w:b/>
          <w:sz w:val="24"/>
          <w:szCs w:val="24"/>
          <w:lang w:val="en-US"/>
        </w:rPr>
        <w:t>2005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B06C3">
        <w:rPr>
          <w:rFonts w:ascii="Times New Roman" w:hAnsi="Times New Roman" w:cs="Times New Roman"/>
          <w:sz w:val="24"/>
          <w:szCs w:val="24"/>
          <w:lang w:val="en-US"/>
        </w:rPr>
        <w:t xml:space="preserve"> 2005(10), 1867-1879.</w:t>
      </w:r>
    </w:p>
    <w:sectPr w:rsidR="006B06C3" w:rsidRPr="009855A6">
      <w:footerReference w:type="default" r:id="rId2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15" w:rsidRDefault="00952B15" w:rsidP="009341D3">
      <w:pPr>
        <w:spacing w:after="0" w:line="240" w:lineRule="auto"/>
      </w:pPr>
      <w:r>
        <w:separator/>
      </w:r>
    </w:p>
  </w:endnote>
  <w:endnote w:type="continuationSeparator" w:id="0">
    <w:p w:rsidR="00952B15" w:rsidRDefault="00952B15" w:rsidP="0093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750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3334" w:rsidRDefault="00D83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5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3334" w:rsidRDefault="00D83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15" w:rsidRDefault="00952B15" w:rsidP="009341D3">
      <w:pPr>
        <w:spacing w:after="0" w:line="240" w:lineRule="auto"/>
      </w:pPr>
      <w:r>
        <w:separator/>
      </w:r>
    </w:p>
  </w:footnote>
  <w:footnote w:type="continuationSeparator" w:id="0">
    <w:p w:rsidR="00952B15" w:rsidRDefault="00952B15" w:rsidP="00934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6AE1"/>
    <w:multiLevelType w:val="hybridMultilevel"/>
    <w:tmpl w:val="DE60C5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E"/>
    <w:rsid w:val="000304D8"/>
    <w:rsid w:val="00040EF5"/>
    <w:rsid w:val="00054607"/>
    <w:rsid w:val="000642DA"/>
    <w:rsid w:val="00071FE1"/>
    <w:rsid w:val="00074FB0"/>
    <w:rsid w:val="000A4DB0"/>
    <w:rsid w:val="000C098D"/>
    <w:rsid w:val="000C5EBB"/>
    <w:rsid w:val="00105CD0"/>
    <w:rsid w:val="0011352E"/>
    <w:rsid w:val="0012497D"/>
    <w:rsid w:val="001760DE"/>
    <w:rsid w:val="00193531"/>
    <w:rsid w:val="001B3D0B"/>
    <w:rsid w:val="001D3662"/>
    <w:rsid w:val="002036E7"/>
    <w:rsid w:val="00204BEE"/>
    <w:rsid w:val="00271388"/>
    <w:rsid w:val="002720DB"/>
    <w:rsid w:val="002905AC"/>
    <w:rsid w:val="002A3BB8"/>
    <w:rsid w:val="002A5C77"/>
    <w:rsid w:val="002E004A"/>
    <w:rsid w:val="002E51EE"/>
    <w:rsid w:val="002F30C8"/>
    <w:rsid w:val="002F353D"/>
    <w:rsid w:val="00317B5E"/>
    <w:rsid w:val="00347D8F"/>
    <w:rsid w:val="003614FC"/>
    <w:rsid w:val="00366C18"/>
    <w:rsid w:val="003721CD"/>
    <w:rsid w:val="00390181"/>
    <w:rsid w:val="00390389"/>
    <w:rsid w:val="003A433E"/>
    <w:rsid w:val="003B6D20"/>
    <w:rsid w:val="003C7209"/>
    <w:rsid w:val="003E119B"/>
    <w:rsid w:val="003E52C6"/>
    <w:rsid w:val="003F0774"/>
    <w:rsid w:val="00407E99"/>
    <w:rsid w:val="004147CC"/>
    <w:rsid w:val="004336E6"/>
    <w:rsid w:val="0044089C"/>
    <w:rsid w:val="0045459C"/>
    <w:rsid w:val="00491EC0"/>
    <w:rsid w:val="00492558"/>
    <w:rsid w:val="004D1357"/>
    <w:rsid w:val="004E42C7"/>
    <w:rsid w:val="004F0CD2"/>
    <w:rsid w:val="00517930"/>
    <w:rsid w:val="005330A1"/>
    <w:rsid w:val="00534C63"/>
    <w:rsid w:val="0055005F"/>
    <w:rsid w:val="005624CC"/>
    <w:rsid w:val="005624DA"/>
    <w:rsid w:val="005B0006"/>
    <w:rsid w:val="005B62D8"/>
    <w:rsid w:val="005C0BDD"/>
    <w:rsid w:val="005D4564"/>
    <w:rsid w:val="005E6A8A"/>
    <w:rsid w:val="006955FD"/>
    <w:rsid w:val="006A250E"/>
    <w:rsid w:val="006B06C3"/>
    <w:rsid w:val="006B6142"/>
    <w:rsid w:val="006F78EA"/>
    <w:rsid w:val="0071420D"/>
    <w:rsid w:val="00734232"/>
    <w:rsid w:val="007439A0"/>
    <w:rsid w:val="00750957"/>
    <w:rsid w:val="0078048D"/>
    <w:rsid w:val="00781CD1"/>
    <w:rsid w:val="00785457"/>
    <w:rsid w:val="007A0EB9"/>
    <w:rsid w:val="007E0842"/>
    <w:rsid w:val="007F528C"/>
    <w:rsid w:val="00817064"/>
    <w:rsid w:val="00821D57"/>
    <w:rsid w:val="008265CA"/>
    <w:rsid w:val="0084696D"/>
    <w:rsid w:val="008827A7"/>
    <w:rsid w:val="008962D7"/>
    <w:rsid w:val="008C624E"/>
    <w:rsid w:val="008C6E7E"/>
    <w:rsid w:val="008E0F3C"/>
    <w:rsid w:val="00902D6C"/>
    <w:rsid w:val="009341D3"/>
    <w:rsid w:val="00946250"/>
    <w:rsid w:val="00946298"/>
    <w:rsid w:val="00952B15"/>
    <w:rsid w:val="00957A96"/>
    <w:rsid w:val="00962262"/>
    <w:rsid w:val="009766DF"/>
    <w:rsid w:val="009779A8"/>
    <w:rsid w:val="009855A6"/>
    <w:rsid w:val="0099661A"/>
    <w:rsid w:val="009B566E"/>
    <w:rsid w:val="009B6455"/>
    <w:rsid w:val="009D0509"/>
    <w:rsid w:val="009F169D"/>
    <w:rsid w:val="00A16950"/>
    <w:rsid w:val="00A20E96"/>
    <w:rsid w:val="00A24359"/>
    <w:rsid w:val="00A51A8F"/>
    <w:rsid w:val="00A52585"/>
    <w:rsid w:val="00A84DF0"/>
    <w:rsid w:val="00A87045"/>
    <w:rsid w:val="00A96D58"/>
    <w:rsid w:val="00AE35A8"/>
    <w:rsid w:val="00AF23DB"/>
    <w:rsid w:val="00B047C9"/>
    <w:rsid w:val="00B10DB6"/>
    <w:rsid w:val="00B541A6"/>
    <w:rsid w:val="00B55EC4"/>
    <w:rsid w:val="00B66547"/>
    <w:rsid w:val="00BB2EB6"/>
    <w:rsid w:val="00BB341F"/>
    <w:rsid w:val="00BD1F7A"/>
    <w:rsid w:val="00BD54AB"/>
    <w:rsid w:val="00BF56DB"/>
    <w:rsid w:val="00C0296D"/>
    <w:rsid w:val="00C073A3"/>
    <w:rsid w:val="00C154BA"/>
    <w:rsid w:val="00C350BD"/>
    <w:rsid w:val="00C37EDF"/>
    <w:rsid w:val="00C53700"/>
    <w:rsid w:val="00C60158"/>
    <w:rsid w:val="00C934B6"/>
    <w:rsid w:val="00CC06CE"/>
    <w:rsid w:val="00CC2BAB"/>
    <w:rsid w:val="00D06088"/>
    <w:rsid w:val="00D1509F"/>
    <w:rsid w:val="00D161EC"/>
    <w:rsid w:val="00D461AB"/>
    <w:rsid w:val="00D83334"/>
    <w:rsid w:val="00D8372F"/>
    <w:rsid w:val="00DB4489"/>
    <w:rsid w:val="00DC7D98"/>
    <w:rsid w:val="00DE63AF"/>
    <w:rsid w:val="00DF42EB"/>
    <w:rsid w:val="00E2361B"/>
    <w:rsid w:val="00E266D3"/>
    <w:rsid w:val="00E267C9"/>
    <w:rsid w:val="00E32F37"/>
    <w:rsid w:val="00E821BD"/>
    <w:rsid w:val="00E93F9B"/>
    <w:rsid w:val="00EA0D24"/>
    <w:rsid w:val="00EA105F"/>
    <w:rsid w:val="00EC243E"/>
    <w:rsid w:val="00EE19D7"/>
    <w:rsid w:val="00F01980"/>
    <w:rsid w:val="00F255FD"/>
    <w:rsid w:val="00F477ED"/>
    <w:rsid w:val="00F70EE7"/>
    <w:rsid w:val="00F72CC4"/>
    <w:rsid w:val="00F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D3"/>
  </w:style>
  <w:style w:type="paragraph" w:styleId="Footer">
    <w:name w:val="footer"/>
    <w:basedOn w:val="Normal"/>
    <w:link w:val="FooterChar"/>
    <w:uiPriority w:val="99"/>
    <w:unhideWhenUsed/>
    <w:rsid w:val="00934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D3"/>
  </w:style>
  <w:style w:type="table" w:styleId="TableGrid">
    <w:name w:val="Table Grid"/>
    <w:basedOn w:val="TableNormal"/>
    <w:uiPriority w:val="59"/>
    <w:rsid w:val="00D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D3"/>
  </w:style>
  <w:style w:type="paragraph" w:styleId="Footer">
    <w:name w:val="footer"/>
    <w:basedOn w:val="Normal"/>
    <w:link w:val="FooterChar"/>
    <w:uiPriority w:val="99"/>
    <w:unhideWhenUsed/>
    <w:rsid w:val="00934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D3"/>
  </w:style>
  <w:style w:type="table" w:styleId="TableGrid">
    <w:name w:val="Table Grid"/>
    <w:basedOn w:val="TableNormal"/>
    <w:uiPriority w:val="59"/>
    <w:rsid w:val="00D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1593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6</cp:revision>
  <dcterms:created xsi:type="dcterms:W3CDTF">2017-10-13T12:11:00Z</dcterms:created>
  <dcterms:modified xsi:type="dcterms:W3CDTF">2017-10-14T17:43:00Z</dcterms:modified>
</cp:coreProperties>
</file>