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80" w:rsidRPr="00165C29" w:rsidRDefault="00165C29">
      <w:pPr>
        <w:pStyle w:val="a3"/>
        <w:rPr>
          <w:b/>
          <w:bCs/>
          <w:sz w:val="28"/>
          <w:lang w:val="el-GR"/>
        </w:rPr>
      </w:pPr>
      <w:r>
        <w:rPr>
          <w:b/>
          <w:bCs/>
          <w:sz w:val="28"/>
          <w:lang w:val="el-GR"/>
        </w:rPr>
        <w:t>Ανάπτυξη</w:t>
      </w:r>
      <w:r w:rsidR="008D1FEF">
        <w:rPr>
          <w:b/>
          <w:bCs/>
          <w:sz w:val="28"/>
          <w:lang w:val="el-GR"/>
        </w:rPr>
        <w:t xml:space="preserve"> καταλυτών </w:t>
      </w:r>
      <w:r w:rsidR="008D1FEF">
        <w:rPr>
          <w:b/>
          <w:bCs/>
          <w:sz w:val="28"/>
        </w:rPr>
        <w:t>Ni</w:t>
      </w:r>
      <w:r w:rsidR="008D1FEF">
        <w:rPr>
          <w:b/>
          <w:bCs/>
          <w:sz w:val="28"/>
          <w:lang w:val="el-GR"/>
        </w:rPr>
        <w:t>/</w:t>
      </w:r>
      <w:r>
        <w:rPr>
          <w:b/>
          <w:bCs/>
          <w:sz w:val="28"/>
        </w:rPr>
        <w:t>S</w:t>
      </w:r>
      <w:r w:rsidR="008D1FEF">
        <w:rPr>
          <w:b/>
          <w:bCs/>
          <w:sz w:val="28"/>
          <w:lang w:val="el-GR"/>
        </w:rPr>
        <w:t>iO</w:t>
      </w:r>
      <w:r w:rsidR="008D1FEF" w:rsidRPr="008D1FEF">
        <w:rPr>
          <w:b/>
          <w:bCs/>
          <w:sz w:val="28"/>
          <w:vertAlign w:val="subscript"/>
          <w:lang w:val="el-GR"/>
        </w:rPr>
        <w:t>2</w:t>
      </w:r>
      <w:r w:rsidR="008D1FEF">
        <w:rPr>
          <w:b/>
          <w:bCs/>
          <w:sz w:val="28"/>
          <w:lang w:val="el-GR"/>
        </w:rPr>
        <w:t xml:space="preserve"> γ</w:t>
      </w:r>
      <w:r>
        <w:rPr>
          <w:b/>
          <w:bCs/>
          <w:sz w:val="28"/>
          <w:lang w:val="el-GR"/>
        </w:rPr>
        <w:t xml:space="preserve">ια την παραγωγή πράσινου ντίζελ από φυσικά </w:t>
      </w:r>
      <w:proofErr w:type="spellStart"/>
      <w:r>
        <w:rPr>
          <w:b/>
          <w:bCs/>
          <w:sz w:val="28"/>
          <w:lang w:val="el-GR"/>
        </w:rPr>
        <w:t>τριγλυκερίδια</w:t>
      </w:r>
      <w:proofErr w:type="spellEnd"/>
    </w:p>
    <w:p w:rsidR="00626F80" w:rsidRDefault="00626F80">
      <w:pPr>
        <w:widowControl w:val="0"/>
        <w:jc w:val="center"/>
        <w:rPr>
          <w:b/>
          <w:sz w:val="22"/>
          <w:lang w:val="el-GR"/>
        </w:rPr>
      </w:pPr>
    </w:p>
    <w:p w:rsidR="00626F80" w:rsidRPr="00165C29" w:rsidRDefault="00165C29" w:rsidP="00682514">
      <w:pPr>
        <w:widowControl w:val="0"/>
        <w:jc w:val="both"/>
        <w:rPr>
          <w:lang w:val="el-GR"/>
        </w:rPr>
      </w:pPr>
      <w:r>
        <w:rPr>
          <w:lang w:val="el-GR"/>
        </w:rPr>
        <w:t>Ιωάννης Ζαφειρόπουλος</w:t>
      </w:r>
      <w:r w:rsidR="00BE2D33" w:rsidRPr="00BE2D33">
        <w:rPr>
          <w:vertAlign w:val="superscript"/>
          <w:lang w:val="el-GR"/>
        </w:rPr>
        <w:t>1</w:t>
      </w:r>
      <w:r>
        <w:rPr>
          <w:lang w:val="el-GR"/>
        </w:rPr>
        <w:t>, Γεώργιος Πετρόπουλος</w:t>
      </w:r>
      <w:r w:rsidR="00BE2D33" w:rsidRPr="00BE2D33">
        <w:rPr>
          <w:vertAlign w:val="superscript"/>
          <w:lang w:val="el-GR"/>
        </w:rPr>
        <w:t>1</w:t>
      </w:r>
      <w:r>
        <w:rPr>
          <w:lang w:val="el-GR"/>
        </w:rPr>
        <w:t xml:space="preserve">, </w:t>
      </w:r>
      <w:r w:rsidR="008D1FEF" w:rsidRPr="00165C29">
        <w:rPr>
          <w:lang w:val="el-GR"/>
        </w:rPr>
        <w:t>Χρήστος Κορδούλης</w:t>
      </w:r>
      <w:r w:rsidR="008D1FEF" w:rsidRPr="00165C29">
        <w:rPr>
          <w:vertAlign w:val="superscript"/>
          <w:lang w:val="el-GR"/>
        </w:rPr>
        <w:t>2</w:t>
      </w:r>
      <w:r w:rsidR="008D1FEF" w:rsidRPr="00165C29">
        <w:rPr>
          <w:lang w:val="el-GR"/>
        </w:rPr>
        <w:t>, Αλέξης Λυκουργιώτης</w:t>
      </w:r>
      <w:r w:rsidR="008D1FEF" w:rsidRPr="00165C29">
        <w:rPr>
          <w:vertAlign w:val="superscript"/>
          <w:lang w:val="el-GR"/>
        </w:rPr>
        <w:t>2</w:t>
      </w:r>
      <w:r>
        <w:rPr>
          <w:lang w:val="el-GR"/>
        </w:rPr>
        <w:t>,</w:t>
      </w:r>
      <w:r w:rsidR="00626F80" w:rsidRPr="00165C29">
        <w:rPr>
          <w:lang w:val="el-GR"/>
        </w:rPr>
        <w:t xml:space="preserve"> </w:t>
      </w:r>
      <w:r w:rsidR="008D1FEF" w:rsidRPr="00165C29">
        <w:rPr>
          <w:lang w:val="el-GR"/>
        </w:rPr>
        <w:t>Κυριάκος Μπουρίκας</w:t>
      </w:r>
      <w:r w:rsidR="00626F80" w:rsidRPr="00165C29">
        <w:rPr>
          <w:vertAlign w:val="superscript"/>
          <w:lang w:val="el-GR"/>
        </w:rPr>
        <w:t>1*</w:t>
      </w:r>
    </w:p>
    <w:p w:rsidR="00626F80" w:rsidRDefault="00626F80">
      <w:pPr>
        <w:widowControl w:val="0"/>
        <w:rPr>
          <w:sz w:val="22"/>
          <w:lang w:val="el-GR"/>
        </w:rPr>
      </w:pPr>
      <w:bookmarkStart w:id="0" w:name="_GoBack"/>
      <w:bookmarkEnd w:id="0"/>
    </w:p>
    <w:p w:rsidR="00626F80" w:rsidRPr="00165C29" w:rsidRDefault="00626F80" w:rsidP="002D67A1">
      <w:pPr>
        <w:widowControl w:val="0"/>
        <w:jc w:val="both"/>
        <w:rPr>
          <w:i/>
          <w:lang w:val="el-GR"/>
        </w:rPr>
      </w:pPr>
      <w:r w:rsidRPr="00165C29">
        <w:rPr>
          <w:i/>
          <w:vertAlign w:val="superscript"/>
          <w:lang w:val="el-GR"/>
        </w:rPr>
        <w:t>1</w:t>
      </w:r>
      <w:r w:rsidR="008D1FEF" w:rsidRPr="00165C29">
        <w:rPr>
          <w:i/>
          <w:lang w:val="el-GR"/>
        </w:rPr>
        <w:t xml:space="preserve">Σχολή Θετικών Επιστημών και Τεχνολογίας, </w:t>
      </w:r>
      <w:r w:rsidR="00834F3E" w:rsidRPr="00165C29">
        <w:rPr>
          <w:i/>
          <w:lang w:val="el-GR"/>
        </w:rPr>
        <w:t xml:space="preserve">Ελληνικό Ανοικτό Πανεπιστήμιο, </w:t>
      </w:r>
      <w:r w:rsidR="008D1FEF" w:rsidRPr="00165C29">
        <w:rPr>
          <w:i/>
          <w:lang w:val="el-GR"/>
        </w:rPr>
        <w:t>Τ.Κ. 26222, Πάτρα</w:t>
      </w:r>
    </w:p>
    <w:p w:rsidR="00626F80" w:rsidRPr="00165C29" w:rsidRDefault="00626F80" w:rsidP="002D67A1">
      <w:pPr>
        <w:widowControl w:val="0"/>
        <w:ind w:left="284" w:hanging="284"/>
        <w:jc w:val="both"/>
        <w:rPr>
          <w:i/>
          <w:lang w:val="el-GR"/>
        </w:rPr>
      </w:pPr>
      <w:r w:rsidRPr="00165C29">
        <w:rPr>
          <w:i/>
          <w:vertAlign w:val="superscript"/>
          <w:lang w:val="el-GR"/>
        </w:rPr>
        <w:t>2</w:t>
      </w:r>
      <w:r w:rsidR="008D1FEF" w:rsidRPr="00165C29">
        <w:rPr>
          <w:i/>
          <w:lang w:val="el-GR"/>
        </w:rPr>
        <w:t>Τμήμα Χημείας, Πανεπιστήμιο Πατρών, Τ.Κ. 26504, Ρίο, Πάτρα</w:t>
      </w:r>
    </w:p>
    <w:p w:rsidR="00626F80" w:rsidRPr="00A04041" w:rsidRDefault="00626F80">
      <w:pPr>
        <w:widowControl w:val="0"/>
        <w:rPr>
          <w:sz w:val="22"/>
          <w:lang w:val="el-GR"/>
        </w:rPr>
      </w:pPr>
    </w:p>
    <w:p w:rsidR="00E53BC5" w:rsidRPr="00A04041" w:rsidRDefault="00E53BC5">
      <w:pPr>
        <w:widowControl w:val="0"/>
        <w:rPr>
          <w:sz w:val="22"/>
          <w:lang w:val="el-GR"/>
        </w:rPr>
      </w:pPr>
    </w:p>
    <w:p w:rsidR="0042022C" w:rsidRPr="00417108" w:rsidRDefault="0042022C">
      <w:pPr>
        <w:widowControl w:val="0"/>
        <w:rPr>
          <w:b/>
          <w:lang w:val="el-GR"/>
        </w:rPr>
      </w:pPr>
      <w:r w:rsidRPr="00417108">
        <w:rPr>
          <w:b/>
          <w:lang w:val="el-GR"/>
        </w:rPr>
        <w:t>Εισαγωγή</w:t>
      </w:r>
    </w:p>
    <w:p w:rsidR="00794F40" w:rsidRDefault="00794F40" w:rsidP="000F12FF">
      <w:pPr>
        <w:ind w:right="-58"/>
        <w:jc w:val="both"/>
        <w:rPr>
          <w:lang w:val="el-GR"/>
        </w:rPr>
      </w:pPr>
    </w:p>
    <w:p w:rsidR="00050EE3" w:rsidRPr="00417108" w:rsidRDefault="00794F40" w:rsidP="000F12FF">
      <w:pPr>
        <w:ind w:right="-58"/>
        <w:jc w:val="both"/>
        <w:rPr>
          <w:lang w:val="el-GR"/>
        </w:rPr>
      </w:pPr>
      <w:r>
        <w:rPr>
          <w:lang w:val="el-GR"/>
        </w:rPr>
        <w:tab/>
      </w:r>
      <w:r w:rsidR="00050EE3" w:rsidRPr="00417108">
        <w:rPr>
          <w:lang w:val="el-GR"/>
        </w:rPr>
        <w:t xml:space="preserve">Ο κύριος στόχος </w:t>
      </w:r>
      <w:r w:rsidR="00834F3E" w:rsidRPr="00417108">
        <w:rPr>
          <w:lang w:val="el-GR"/>
        </w:rPr>
        <w:t>της εργασίας είναι η</w:t>
      </w:r>
      <w:r w:rsidR="00050EE3" w:rsidRPr="00417108">
        <w:rPr>
          <w:lang w:val="el-GR"/>
        </w:rPr>
        <w:t xml:space="preserve"> ανάπ</w:t>
      </w:r>
      <w:r w:rsidR="00BD69C2" w:rsidRPr="00417108">
        <w:rPr>
          <w:lang w:val="el-GR"/>
        </w:rPr>
        <w:t>τυξη βέλτιστων καταλυτών για τη</w:t>
      </w:r>
      <w:r w:rsidR="00050EE3" w:rsidRPr="00417108">
        <w:rPr>
          <w:lang w:val="el-GR"/>
        </w:rPr>
        <w:t xml:space="preserve"> διεργασία μετατροπής φρέσκων φυτικών ελαίων αλλά και χρησιμοποιημένων ελαίων σε πράσινο (ανανεώσιμο) </w:t>
      </w:r>
      <w:r w:rsidR="00240641" w:rsidRPr="00417108">
        <w:rPr>
          <w:lang w:val="el-GR"/>
        </w:rPr>
        <w:t>ντίζελ</w:t>
      </w:r>
      <w:r w:rsidR="00050EE3" w:rsidRPr="00417108">
        <w:rPr>
          <w:lang w:val="el-GR"/>
        </w:rPr>
        <w:t xml:space="preserve">, με υψηλή αποτελεσματικότητα και χαμηλό κόστος. Τα φρέσκα φυτικά έλαια αποτελούν μια ανανεώσιμη πηγή βιομάζας, η χρήση της οποίας δεν προκαλεί περιβαλλοντική επιβάρυνση και επιπλέον η χρήση </w:t>
      </w:r>
      <w:proofErr w:type="spellStart"/>
      <w:r w:rsidR="00050EE3" w:rsidRPr="00417108">
        <w:rPr>
          <w:lang w:val="el-GR"/>
        </w:rPr>
        <w:t>τηγανελαίων</w:t>
      </w:r>
      <w:proofErr w:type="spellEnd"/>
      <w:r w:rsidR="00050EE3" w:rsidRPr="00417108">
        <w:rPr>
          <w:lang w:val="el-GR"/>
        </w:rPr>
        <w:t xml:space="preserve"> αντί των φρέσκων είναι ένας αποτελεσματικός τρόπος για τη μείωση του κόστους των πρώτων υλών αλλά και για την αξιοποίηση αποβλήτων, η διάθεση των οποίων στο περιβάλλον έχει τεράστιες επιπτώσεις.</w:t>
      </w:r>
      <w:r w:rsidR="004D14C0" w:rsidRPr="00417108">
        <w:rPr>
          <w:rFonts w:eastAsia="+mn-ea"/>
          <w:color w:val="009644"/>
          <w:kern w:val="24"/>
          <w:lang w:val="el-GR"/>
        </w:rPr>
        <w:t xml:space="preserve"> </w:t>
      </w:r>
      <w:r w:rsidR="004D14C0" w:rsidRPr="00417108">
        <w:rPr>
          <w:lang w:val="el-GR"/>
        </w:rPr>
        <w:t xml:space="preserve">Ενδεικτικά μόνο αναφέρουμε ότι στην Ελλάδα απορρίπτονται ετησίως σχεδόν 400.000 τόνοι </w:t>
      </w:r>
      <w:proofErr w:type="spellStart"/>
      <w:r w:rsidR="004D14C0" w:rsidRPr="00417108">
        <w:rPr>
          <w:lang w:val="el-GR"/>
        </w:rPr>
        <w:t>τηγανελαίων</w:t>
      </w:r>
      <w:proofErr w:type="spellEnd"/>
      <w:r w:rsidR="004D14C0" w:rsidRPr="00417108">
        <w:rPr>
          <w:lang w:val="el-GR"/>
        </w:rPr>
        <w:t xml:space="preserve"> και </w:t>
      </w:r>
      <w:proofErr w:type="spellStart"/>
      <w:r w:rsidR="004D14C0" w:rsidRPr="00417108">
        <w:rPr>
          <w:lang w:val="el-GR"/>
        </w:rPr>
        <w:t>ζωϊκών</w:t>
      </w:r>
      <w:proofErr w:type="spellEnd"/>
      <w:r w:rsidR="004D14C0" w:rsidRPr="00417108">
        <w:rPr>
          <w:lang w:val="el-GR"/>
        </w:rPr>
        <w:t xml:space="preserve"> λιπών. Συνεπώς, η διαχείριση και αξιοποίηση της μεγάλης αυτής ποσότητας των χρησιμοποιημένων ελαίων θα έχει πολλαπλά περιβαλλοντικά αλλά και οικονομικά οφέλη.</w:t>
      </w:r>
    </w:p>
    <w:p w:rsidR="004D14C0" w:rsidRDefault="00834F3E" w:rsidP="000F12FF">
      <w:pPr>
        <w:ind w:right="-58"/>
        <w:jc w:val="both"/>
        <w:rPr>
          <w:lang w:val="el-GR"/>
        </w:rPr>
      </w:pPr>
      <w:r w:rsidRPr="00417108">
        <w:rPr>
          <w:lang w:val="el-GR"/>
        </w:rPr>
        <w:tab/>
        <w:t xml:space="preserve">Η διεργασία που αναπτύσσουμε για τη μετατροπή των φυτικών ελαίων σε πράσινο </w:t>
      </w:r>
      <w:r w:rsidR="00240641" w:rsidRPr="00417108">
        <w:rPr>
          <w:lang w:val="el-GR"/>
        </w:rPr>
        <w:t xml:space="preserve">ντίζελ είναι η εκλεκτική </w:t>
      </w:r>
      <w:proofErr w:type="spellStart"/>
      <w:r w:rsidR="00240641" w:rsidRPr="00417108">
        <w:rPr>
          <w:lang w:val="el-GR"/>
        </w:rPr>
        <w:t>αποξυγόνωση</w:t>
      </w:r>
      <w:proofErr w:type="spellEnd"/>
      <w:r w:rsidR="004D14C0" w:rsidRPr="00417108">
        <w:rPr>
          <w:lang w:val="el-GR"/>
        </w:rPr>
        <w:t xml:space="preserve"> (</w:t>
      </w:r>
      <w:proofErr w:type="spellStart"/>
      <w:r w:rsidR="004D14C0" w:rsidRPr="00417108">
        <w:rPr>
          <w:lang w:val="el-GR"/>
        </w:rPr>
        <w:t>Selective</w:t>
      </w:r>
      <w:proofErr w:type="spellEnd"/>
      <w:r w:rsidR="004D14C0" w:rsidRPr="00417108">
        <w:rPr>
          <w:lang w:val="el-GR"/>
        </w:rPr>
        <w:t xml:space="preserve"> </w:t>
      </w:r>
      <w:proofErr w:type="spellStart"/>
      <w:r w:rsidR="004D14C0" w:rsidRPr="00417108">
        <w:rPr>
          <w:lang w:val="el-GR"/>
        </w:rPr>
        <w:t>deoxygenation</w:t>
      </w:r>
      <w:proofErr w:type="spellEnd"/>
      <w:r w:rsidR="004D14C0" w:rsidRPr="00417108">
        <w:rPr>
          <w:lang w:val="el-GR"/>
        </w:rPr>
        <w:t xml:space="preserve">, SDO) [1-3]. Αυτή πραγματοποιείται με </w:t>
      </w:r>
      <w:proofErr w:type="spellStart"/>
      <w:r w:rsidR="004D14C0" w:rsidRPr="00417108">
        <w:rPr>
          <w:lang w:val="el-GR"/>
        </w:rPr>
        <w:t>υδρογονοεπεξεργασία</w:t>
      </w:r>
      <w:proofErr w:type="spellEnd"/>
      <w:r w:rsidR="004D14C0" w:rsidRPr="00417108">
        <w:rPr>
          <w:lang w:val="el-GR"/>
        </w:rPr>
        <w:t xml:space="preserve"> και περιλαμβάνει τρεις διαφορετικές αντιδράσεις</w:t>
      </w:r>
      <w:r w:rsidR="00BD710D">
        <w:rPr>
          <w:lang w:val="el-GR"/>
        </w:rPr>
        <w:t xml:space="preserve"> (Σχήμα 1)</w:t>
      </w:r>
      <w:r w:rsidR="004D14C0" w:rsidRPr="00417108">
        <w:rPr>
          <w:lang w:val="el-GR"/>
        </w:rPr>
        <w:t>:</w:t>
      </w:r>
    </w:p>
    <w:p w:rsidR="00ED6158" w:rsidRPr="00417108" w:rsidRDefault="00ED6158" w:rsidP="000F12FF">
      <w:pPr>
        <w:ind w:right="-58"/>
        <w:jc w:val="both"/>
        <w:rPr>
          <w:lang w:val="el-GR"/>
        </w:rPr>
      </w:pPr>
    </w:p>
    <w:p w:rsidR="004D14C0" w:rsidRPr="00417108" w:rsidRDefault="004D14C0" w:rsidP="000F12FF">
      <w:pPr>
        <w:ind w:right="-58"/>
        <w:jc w:val="both"/>
        <w:rPr>
          <w:lang w:val="el-GR"/>
        </w:rPr>
      </w:pPr>
    </w:p>
    <w:p w:rsidR="004D14C0" w:rsidRPr="00417108" w:rsidRDefault="004D14C0" w:rsidP="004D14C0">
      <w:pPr>
        <w:ind w:right="-58"/>
        <w:jc w:val="center"/>
        <w:rPr>
          <w:lang w:val="el-GR"/>
        </w:rPr>
      </w:pPr>
      <w:r w:rsidRPr="00417108">
        <w:rPr>
          <w:noProof/>
          <w:lang w:val="el-GR" w:eastAsia="el-GR"/>
        </w:rPr>
        <w:drawing>
          <wp:inline distT="0" distB="0" distL="0" distR="0">
            <wp:extent cx="5486400" cy="1125220"/>
            <wp:effectExtent l="0" t="0" r="0" b="0"/>
            <wp:docPr id="1" name="Αντικείμενο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045637" cy="2880320"/>
                      <a:chOff x="882029" y="11305556"/>
                      <a:chExt cx="14045637" cy="2880320"/>
                    </a:xfrm>
                  </a:grpSpPr>
                  <a:pic>
                    <a:nvPicPr>
                      <a:cNvPr id="4" name="Picture 12"/>
                      <a:cNvPicPr>
                        <a:picLocks noChangeAspect="1" noChangeArrowheads="1"/>
                      </a:cNvPicPr>
                    </a:nvPicPr>
                    <a:blipFill>
                      <a:blip r:embed="rId8" cstate="print"/>
                      <a:srcRect/>
                      <a:stretch>
                        <a:fillRect/>
                      </a:stretch>
                    </a:blipFill>
                    <a:spPr bwMode="auto">
                      <a:xfrm>
                        <a:off x="937237" y="11305556"/>
                        <a:ext cx="8855902" cy="2790309"/>
                      </a:xfrm>
                      <a:prstGeom prst="rect">
                        <a:avLst/>
                      </a:prstGeom>
                      <a:noFill/>
                      <a:ln w="9525">
                        <a:noFill/>
                        <a:miter lim="800000"/>
                        <a:headEnd/>
                        <a:tailEnd/>
                      </a:ln>
                      <a:effectLst/>
                    </a:spPr>
                  </a:pic>
                  <a:sp>
                    <a:nvSpPr>
                      <a:cNvPr id="92" name="91 - TextBox"/>
                      <a:cNvSpPr txBox="1"/>
                    </a:nvSpPr>
                    <a:spPr>
                      <a:xfrm>
                        <a:off x="882029" y="13690578"/>
                        <a:ext cx="2286374" cy="495298"/>
                      </a:xfrm>
                      <a:prstGeom prst="rect">
                        <a:avLst/>
                      </a:prstGeom>
                      <a:noFill/>
                    </a:spPr>
                    <a:txSp>
                      <a:txBody>
                        <a:bodyPr wrap="square" lIns="86824" tIns="43412" rIns="86824" bIns="43412" rtlCol="0">
                          <a:spAutoFit/>
                        </a:bodyPr>
                        <a:lstStyle>
                          <a:defPPr>
                            <a:defRPr lang="en-US"/>
                          </a:defPPr>
                          <a:lvl1pPr algn="l" rtl="0" fontAlgn="base">
                            <a:spcBef>
                              <a:spcPct val="0"/>
                            </a:spcBef>
                            <a:spcAft>
                              <a:spcPct val="0"/>
                            </a:spcAft>
                            <a:defRPr sz="2600" kern="1200">
                              <a:solidFill>
                                <a:schemeClr val="tx1"/>
                              </a:solidFill>
                              <a:latin typeface="Times New Roman" pitchFamily="18" charset="0"/>
                              <a:ea typeface="+mn-ea"/>
                              <a:cs typeface="+mn-cs"/>
                            </a:defRPr>
                          </a:lvl1pPr>
                          <a:lvl2pPr marL="429905" algn="l" rtl="0" fontAlgn="base">
                            <a:spcBef>
                              <a:spcPct val="0"/>
                            </a:spcBef>
                            <a:spcAft>
                              <a:spcPct val="0"/>
                            </a:spcAft>
                            <a:defRPr sz="2600" kern="1200">
                              <a:solidFill>
                                <a:schemeClr val="tx1"/>
                              </a:solidFill>
                              <a:latin typeface="Times New Roman" pitchFamily="18" charset="0"/>
                              <a:ea typeface="+mn-ea"/>
                              <a:cs typeface="+mn-cs"/>
                            </a:defRPr>
                          </a:lvl2pPr>
                          <a:lvl3pPr marL="859810" algn="l" rtl="0" fontAlgn="base">
                            <a:spcBef>
                              <a:spcPct val="0"/>
                            </a:spcBef>
                            <a:spcAft>
                              <a:spcPct val="0"/>
                            </a:spcAft>
                            <a:defRPr sz="2600" kern="1200">
                              <a:solidFill>
                                <a:schemeClr val="tx1"/>
                              </a:solidFill>
                              <a:latin typeface="Times New Roman" pitchFamily="18" charset="0"/>
                              <a:ea typeface="+mn-ea"/>
                              <a:cs typeface="+mn-cs"/>
                            </a:defRPr>
                          </a:lvl3pPr>
                          <a:lvl4pPr marL="1289715" algn="l" rtl="0" fontAlgn="base">
                            <a:spcBef>
                              <a:spcPct val="0"/>
                            </a:spcBef>
                            <a:spcAft>
                              <a:spcPct val="0"/>
                            </a:spcAft>
                            <a:defRPr sz="2600" kern="1200">
                              <a:solidFill>
                                <a:schemeClr val="tx1"/>
                              </a:solidFill>
                              <a:latin typeface="Times New Roman" pitchFamily="18" charset="0"/>
                              <a:ea typeface="+mn-ea"/>
                              <a:cs typeface="+mn-cs"/>
                            </a:defRPr>
                          </a:lvl4pPr>
                          <a:lvl5pPr marL="1719621" algn="l" rtl="0" fontAlgn="base">
                            <a:spcBef>
                              <a:spcPct val="0"/>
                            </a:spcBef>
                            <a:spcAft>
                              <a:spcPct val="0"/>
                            </a:spcAft>
                            <a:defRPr sz="2600" kern="1200">
                              <a:solidFill>
                                <a:schemeClr val="tx1"/>
                              </a:solidFill>
                              <a:latin typeface="Times New Roman" pitchFamily="18" charset="0"/>
                              <a:ea typeface="+mn-ea"/>
                              <a:cs typeface="+mn-cs"/>
                            </a:defRPr>
                          </a:lvl5pPr>
                          <a:lvl6pPr marL="2149526" algn="l" defTabSz="859810" rtl="0" eaLnBrk="1" latinLnBrk="0" hangingPunct="1">
                            <a:defRPr sz="2600" kern="1200">
                              <a:solidFill>
                                <a:schemeClr val="tx1"/>
                              </a:solidFill>
                              <a:latin typeface="Times New Roman" pitchFamily="18" charset="0"/>
                              <a:ea typeface="+mn-ea"/>
                              <a:cs typeface="+mn-cs"/>
                            </a:defRPr>
                          </a:lvl6pPr>
                          <a:lvl7pPr marL="2579431" algn="l" defTabSz="859810" rtl="0" eaLnBrk="1" latinLnBrk="0" hangingPunct="1">
                            <a:defRPr sz="2600" kern="1200">
                              <a:solidFill>
                                <a:schemeClr val="tx1"/>
                              </a:solidFill>
                              <a:latin typeface="Times New Roman" pitchFamily="18" charset="0"/>
                              <a:ea typeface="+mn-ea"/>
                              <a:cs typeface="+mn-cs"/>
                            </a:defRPr>
                          </a:lvl7pPr>
                          <a:lvl8pPr marL="3009336" algn="l" defTabSz="859810" rtl="0" eaLnBrk="1" latinLnBrk="0" hangingPunct="1">
                            <a:defRPr sz="2600" kern="1200">
                              <a:solidFill>
                                <a:schemeClr val="tx1"/>
                              </a:solidFill>
                              <a:latin typeface="Times New Roman" pitchFamily="18" charset="0"/>
                              <a:ea typeface="+mn-ea"/>
                              <a:cs typeface="+mn-cs"/>
                            </a:defRPr>
                          </a:lvl8pPr>
                          <a:lvl9pPr marL="3439241" algn="l" defTabSz="859810" rtl="0" eaLnBrk="1" latinLnBrk="0" hangingPunct="1">
                            <a:defRPr sz="2600" kern="1200">
                              <a:solidFill>
                                <a:schemeClr val="tx1"/>
                              </a:solidFill>
                              <a:latin typeface="Times New Roman" pitchFamily="18" charset="0"/>
                              <a:ea typeface="+mn-ea"/>
                              <a:cs typeface="+mn-cs"/>
                            </a:defRPr>
                          </a:lvl9pPr>
                        </a:lstStyle>
                        <a:p>
                          <a:pPr algn="just"/>
                          <a:r>
                            <a:rPr lang="el-GR" dirty="0" err="1" smtClean="0"/>
                            <a:t>τριγλυκερίδιο</a:t>
                          </a:r>
                          <a:endParaRPr lang="el-GR" dirty="0"/>
                        </a:p>
                      </a:txBody>
                      <a:useSpRect/>
                    </a:txSp>
                  </a:sp>
                  <a:sp>
                    <a:nvSpPr>
                      <a:cNvPr id="93" name="92 - TextBox"/>
                      <a:cNvSpPr txBox="1"/>
                    </a:nvSpPr>
                    <a:spPr>
                      <a:xfrm>
                        <a:off x="10153179" y="11512696"/>
                        <a:ext cx="4169270" cy="495298"/>
                      </a:xfrm>
                      <a:prstGeom prst="rect">
                        <a:avLst/>
                      </a:prstGeom>
                      <a:noFill/>
                    </a:spPr>
                    <a:txSp>
                      <a:txBody>
                        <a:bodyPr wrap="square" lIns="86824" tIns="43412" rIns="86824" bIns="43412" rtlCol="0">
                          <a:spAutoFit/>
                        </a:bodyPr>
                        <a:lstStyle>
                          <a:defPPr>
                            <a:defRPr lang="en-US"/>
                          </a:defPPr>
                          <a:lvl1pPr algn="l" rtl="0" fontAlgn="base">
                            <a:spcBef>
                              <a:spcPct val="0"/>
                            </a:spcBef>
                            <a:spcAft>
                              <a:spcPct val="0"/>
                            </a:spcAft>
                            <a:defRPr sz="2600" kern="1200">
                              <a:solidFill>
                                <a:schemeClr val="tx1"/>
                              </a:solidFill>
                              <a:latin typeface="Times New Roman" pitchFamily="18" charset="0"/>
                              <a:ea typeface="+mn-ea"/>
                              <a:cs typeface="+mn-cs"/>
                            </a:defRPr>
                          </a:lvl1pPr>
                          <a:lvl2pPr marL="429905" algn="l" rtl="0" fontAlgn="base">
                            <a:spcBef>
                              <a:spcPct val="0"/>
                            </a:spcBef>
                            <a:spcAft>
                              <a:spcPct val="0"/>
                            </a:spcAft>
                            <a:defRPr sz="2600" kern="1200">
                              <a:solidFill>
                                <a:schemeClr val="tx1"/>
                              </a:solidFill>
                              <a:latin typeface="Times New Roman" pitchFamily="18" charset="0"/>
                              <a:ea typeface="+mn-ea"/>
                              <a:cs typeface="+mn-cs"/>
                            </a:defRPr>
                          </a:lvl2pPr>
                          <a:lvl3pPr marL="859810" algn="l" rtl="0" fontAlgn="base">
                            <a:spcBef>
                              <a:spcPct val="0"/>
                            </a:spcBef>
                            <a:spcAft>
                              <a:spcPct val="0"/>
                            </a:spcAft>
                            <a:defRPr sz="2600" kern="1200">
                              <a:solidFill>
                                <a:schemeClr val="tx1"/>
                              </a:solidFill>
                              <a:latin typeface="Times New Roman" pitchFamily="18" charset="0"/>
                              <a:ea typeface="+mn-ea"/>
                              <a:cs typeface="+mn-cs"/>
                            </a:defRPr>
                          </a:lvl3pPr>
                          <a:lvl4pPr marL="1289715" algn="l" rtl="0" fontAlgn="base">
                            <a:spcBef>
                              <a:spcPct val="0"/>
                            </a:spcBef>
                            <a:spcAft>
                              <a:spcPct val="0"/>
                            </a:spcAft>
                            <a:defRPr sz="2600" kern="1200">
                              <a:solidFill>
                                <a:schemeClr val="tx1"/>
                              </a:solidFill>
                              <a:latin typeface="Times New Roman" pitchFamily="18" charset="0"/>
                              <a:ea typeface="+mn-ea"/>
                              <a:cs typeface="+mn-cs"/>
                            </a:defRPr>
                          </a:lvl4pPr>
                          <a:lvl5pPr marL="1719621" algn="l" rtl="0" fontAlgn="base">
                            <a:spcBef>
                              <a:spcPct val="0"/>
                            </a:spcBef>
                            <a:spcAft>
                              <a:spcPct val="0"/>
                            </a:spcAft>
                            <a:defRPr sz="2600" kern="1200">
                              <a:solidFill>
                                <a:schemeClr val="tx1"/>
                              </a:solidFill>
                              <a:latin typeface="Times New Roman" pitchFamily="18" charset="0"/>
                              <a:ea typeface="+mn-ea"/>
                              <a:cs typeface="+mn-cs"/>
                            </a:defRPr>
                          </a:lvl5pPr>
                          <a:lvl6pPr marL="2149526" algn="l" defTabSz="859810" rtl="0" eaLnBrk="1" latinLnBrk="0" hangingPunct="1">
                            <a:defRPr sz="2600" kern="1200">
                              <a:solidFill>
                                <a:schemeClr val="tx1"/>
                              </a:solidFill>
                              <a:latin typeface="Times New Roman" pitchFamily="18" charset="0"/>
                              <a:ea typeface="+mn-ea"/>
                              <a:cs typeface="+mn-cs"/>
                            </a:defRPr>
                          </a:lvl6pPr>
                          <a:lvl7pPr marL="2579431" algn="l" defTabSz="859810" rtl="0" eaLnBrk="1" latinLnBrk="0" hangingPunct="1">
                            <a:defRPr sz="2600" kern="1200">
                              <a:solidFill>
                                <a:schemeClr val="tx1"/>
                              </a:solidFill>
                              <a:latin typeface="Times New Roman" pitchFamily="18" charset="0"/>
                              <a:ea typeface="+mn-ea"/>
                              <a:cs typeface="+mn-cs"/>
                            </a:defRPr>
                          </a:lvl7pPr>
                          <a:lvl8pPr marL="3009336" algn="l" defTabSz="859810" rtl="0" eaLnBrk="1" latinLnBrk="0" hangingPunct="1">
                            <a:defRPr sz="2600" kern="1200">
                              <a:solidFill>
                                <a:schemeClr val="tx1"/>
                              </a:solidFill>
                              <a:latin typeface="Times New Roman" pitchFamily="18" charset="0"/>
                              <a:ea typeface="+mn-ea"/>
                              <a:cs typeface="+mn-cs"/>
                            </a:defRPr>
                          </a:lvl8pPr>
                          <a:lvl9pPr marL="3439241" algn="l" defTabSz="859810" rtl="0" eaLnBrk="1" latinLnBrk="0" hangingPunct="1">
                            <a:defRPr sz="2600" kern="1200">
                              <a:solidFill>
                                <a:schemeClr val="tx1"/>
                              </a:solidFill>
                              <a:latin typeface="Times New Roman" pitchFamily="18" charset="0"/>
                              <a:ea typeface="+mn-ea"/>
                              <a:cs typeface="+mn-cs"/>
                            </a:defRPr>
                          </a:lvl9pPr>
                        </a:lstStyle>
                        <a:p>
                          <a:pPr algn="just"/>
                          <a:r>
                            <a:rPr lang="el-GR" dirty="0" err="1" smtClean="0">
                              <a:solidFill>
                                <a:srgbClr val="FF0000"/>
                              </a:solidFill>
                            </a:rPr>
                            <a:t>αποκαρβοξυλίωση</a:t>
                          </a:r>
                          <a:r>
                            <a:rPr lang="el-GR" dirty="0" smtClean="0">
                              <a:solidFill>
                                <a:srgbClr val="FF0000"/>
                              </a:solidFill>
                            </a:rPr>
                            <a:t> (</a:t>
                          </a:r>
                          <a:r>
                            <a:rPr lang="el-GR" dirty="0" err="1" smtClean="0">
                              <a:solidFill>
                                <a:srgbClr val="FF0000"/>
                              </a:solidFill>
                            </a:rPr>
                            <a:t>deCO</a:t>
                          </a:r>
                          <a:r>
                            <a:rPr lang="el-GR" baseline="-25000" dirty="0" err="1" smtClean="0">
                              <a:solidFill>
                                <a:srgbClr val="FF0000"/>
                              </a:solidFill>
                            </a:rPr>
                            <a:t>2</a:t>
                          </a:r>
                          <a:r>
                            <a:rPr lang="el-GR" dirty="0" smtClean="0">
                              <a:solidFill>
                                <a:srgbClr val="FF0000"/>
                              </a:solidFill>
                            </a:rPr>
                            <a:t>)</a:t>
                          </a:r>
                          <a:endParaRPr lang="el-GR" dirty="0">
                            <a:solidFill>
                              <a:srgbClr val="FF0000"/>
                            </a:solidFill>
                          </a:endParaRPr>
                        </a:p>
                      </a:txBody>
                      <a:useSpRect/>
                    </a:txSp>
                  </a:sp>
                  <a:sp>
                    <a:nvSpPr>
                      <a:cNvPr id="94" name="93 - TextBox"/>
                      <a:cNvSpPr txBox="1"/>
                    </a:nvSpPr>
                    <a:spPr>
                      <a:xfrm>
                        <a:off x="10160373" y="12348232"/>
                        <a:ext cx="4169270" cy="495298"/>
                      </a:xfrm>
                      <a:prstGeom prst="rect">
                        <a:avLst/>
                      </a:prstGeom>
                      <a:noFill/>
                    </a:spPr>
                    <a:txSp>
                      <a:txBody>
                        <a:bodyPr wrap="square" lIns="86824" tIns="43412" rIns="86824" bIns="43412" rtlCol="0">
                          <a:spAutoFit/>
                        </a:bodyPr>
                        <a:lstStyle>
                          <a:defPPr>
                            <a:defRPr lang="en-US"/>
                          </a:defPPr>
                          <a:lvl1pPr algn="l" rtl="0" fontAlgn="base">
                            <a:spcBef>
                              <a:spcPct val="0"/>
                            </a:spcBef>
                            <a:spcAft>
                              <a:spcPct val="0"/>
                            </a:spcAft>
                            <a:defRPr sz="2600" kern="1200">
                              <a:solidFill>
                                <a:schemeClr val="tx1"/>
                              </a:solidFill>
                              <a:latin typeface="Times New Roman" pitchFamily="18" charset="0"/>
                              <a:ea typeface="+mn-ea"/>
                              <a:cs typeface="+mn-cs"/>
                            </a:defRPr>
                          </a:lvl1pPr>
                          <a:lvl2pPr marL="429905" algn="l" rtl="0" fontAlgn="base">
                            <a:spcBef>
                              <a:spcPct val="0"/>
                            </a:spcBef>
                            <a:spcAft>
                              <a:spcPct val="0"/>
                            </a:spcAft>
                            <a:defRPr sz="2600" kern="1200">
                              <a:solidFill>
                                <a:schemeClr val="tx1"/>
                              </a:solidFill>
                              <a:latin typeface="Times New Roman" pitchFamily="18" charset="0"/>
                              <a:ea typeface="+mn-ea"/>
                              <a:cs typeface="+mn-cs"/>
                            </a:defRPr>
                          </a:lvl2pPr>
                          <a:lvl3pPr marL="859810" algn="l" rtl="0" fontAlgn="base">
                            <a:spcBef>
                              <a:spcPct val="0"/>
                            </a:spcBef>
                            <a:spcAft>
                              <a:spcPct val="0"/>
                            </a:spcAft>
                            <a:defRPr sz="2600" kern="1200">
                              <a:solidFill>
                                <a:schemeClr val="tx1"/>
                              </a:solidFill>
                              <a:latin typeface="Times New Roman" pitchFamily="18" charset="0"/>
                              <a:ea typeface="+mn-ea"/>
                              <a:cs typeface="+mn-cs"/>
                            </a:defRPr>
                          </a:lvl3pPr>
                          <a:lvl4pPr marL="1289715" algn="l" rtl="0" fontAlgn="base">
                            <a:spcBef>
                              <a:spcPct val="0"/>
                            </a:spcBef>
                            <a:spcAft>
                              <a:spcPct val="0"/>
                            </a:spcAft>
                            <a:defRPr sz="2600" kern="1200">
                              <a:solidFill>
                                <a:schemeClr val="tx1"/>
                              </a:solidFill>
                              <a:latin typeface="Times New Roman" pitchFamily="18" charset="0"/>
                              <a:ea typeface="+mn-ea"/>
                              <a:cs typeface="+mn-cs"/>
                            </a:defRPr>
                          </a:lvl4pPr>
                          <a:lvl5pPr marL="1719621" algn="l" rtl="0" fontAlgn="base">
                            <a:spcBef>
                              <a:spcPct val="0"/>
                            </a:spcBef>
                            <a:spcAft>
                              <a:spcPct val="0"/>
                            </a:spcAft>
                            <a:defRPr sz="2600" kern="1200">
                              <a:solidFill>
                                <a:schemeClr val="tx1"/>
                              </a:solidFill>
                              <a:latin typeface="Times New Roman" pitchFamily="18" charset="0"/>
                              <a:ea typeface="+mn-ea"/>
                              <a:cs typeface="+mn-cs"/>
                            </a:defRPr>
                          </a:lvl5pPr>
                          <a:lvl6pPr marL="2149526" algn="l" defTabSz="859810" rtl="0" eaLnBrk="1" latinLnBrk="0" hangingPunct="1">
                            <a:defRPr sz="2600" kern="1200">
                              <a:solidFill>
                                <a:schemeClr val="tx1"/>
                              </a:solidFill>
                              <a:latin typeface="Times New Roman" pitchFamily="18" charset="0"/>
                              <a:ea typeface="+mn-ea"/>
                              <a:cs typeface="+mn-cs"/>
                            </a:defRPr>
                          </a:lvl6pPr>
                          <a:lvl7pPr marL="2579431" algn="l" defTabSz="859810" rtl="0" eaLnBrk="1" latinLnBrk="0" hangingPunct="1">
                            <a:defRPr sz="2600" kern="1200">
                              <a:solidFill>
                                <a:schemeClr val="tx1"/>
                              </a:solidFill>
                              <a:latin typeface="Times New Roman" pitchFamily="18" charset="0"/>
                              <a:ea typeface="+mn-ea"/>
                              <a:cs typeface="+mn-cs"/>
                            </a:defRPr>
                          </a:lvl7pPr>
                          <a:lvl8pPr marL="3009336" algn="l" defTabSz="859810" rtl="0" eaLnBrk="1" latinLnBrk="0" hangingPunct="1">
                            <a:defRPr sz="2600" kern="1200">
                              <a:solidFill>
                                <a:schemeClr val="tx1"/>
                              </a:solidFill>
                              <a:latin typeface="Times New Roman" pitchFamily="18" charset="0"/>
                              <a:ea typeface="+mn-ea"/>
                              <a:cs typeface="+mn-cs"/>
                            </a:defRPr>
                          </a:lvl8pPr>
                          <a:lvl9pPr marL="3439241" algn="l" defTabSz="859810" rtl="0" eaLnBrk="1" latinLnBrk="0" hangingPunct="1">
                            <a:defRPr sz="2600" kern="1200">
                              <a:solidFill>
                                <a:schemeClr val="tx1"/>
                              </a:solidFill>
                              <a:latin typeface="Times New Roman" pitchFamily="18" charset="0"/>
                              <a:ea typeface="+mn-ea"/>
                              <a:cs typeface="+mn-cs"/>
                            </a:defRPr>
                          </a:lvl9pPr>
                        </a:lstStyle>
                        <a:p>
                          <a:pPr algn="just"/>
                          <a:r>
                            <a:rPr lang="el-GR" dirty="0" err="1" smtClean="0">
                              <a:solidFill>
                                <a:schemeClr val="accent1">
                                  <a:lumMod val="75000"/>
                                </a:schemeClr>
                              </a:solidFill>
                            </a:rPr>
                            <a:t>αποκαρβονυλίωση</a:t>
                          </a:r>
                          <a:r>
                            <a:rPr lang="el-GR" dirty="0" smtClean="0">
                              <a:solidFill>
                                <a:schemeClr val="accent1">
                                  <a:lumMod val="75000"/>
                                </a:schemeClr>
                              </a:solidFill>
                            </a:rPr>
                            <a:t> (</a:t>
                          </a:r>
                          <a:r>
                            <a:rPr lang="el-GR" dirty="0" err="1" smtClean="0">
                              <a:solidFill>
                                <a:schemeClr val="accent1">
                                  <a:lumMod val="75000"/>
                                </a:schemeClr>
                              </a:solidFill>
                            </a:rPr>
                            <a:t>deCO</a:t>
                          </a:r>
                          <a:r>
                            <a:rPr lang="el-GR" dirty="0" smtClean="0">
                              <a:solidFill>
                                <a:schemeClr val="accent1">
                                  <a:lumMod val="75000"/>
                                </a:schemeClr>
                              </a:solidFill>
                            </a:rPr>
                            <a:t>)</a:t>
                          </a:r>
                          <a:endParaRPr lang="el-GR" dirty="0">
                            <a:solidFill>
                              <a:schemeClr val="accent1">
                                <a:lumMod val="75000"/>
                              </a:schemeClr>
                            </a:solidFill>
                          </a:endParaRPr>
                        </a:p>
                      </a:txBody>
                      <a:useSpRect/>
                    </a:txSp>
                  </a:sp>
                  <a:sp>
                    <a:nvSpPr>
                      <a:cNvPr id="95" name="94 - TextBox"/>
                      <a:cNvSpPr txBox="1"/>
                    </a:nvSpPr>
                    <a:spPr>
                      <a:xfrm>
                        <a:off x="10153179" y="13486076"/>
                        <a:ext cx="4774487" cy="495298"/>
                      </a:xfrm>
                      <a:prstGeom prst="rect">
                        <a:avLst/>
                      </a:prstGeom>
                      <a:noFill/>
                    </a:spPr>
                    <a:txSp>
                      <a:txBody>
                        <a:bodyPr wrap="square" lIns="86824" tIns="43412" rIns="86824" bIns="43412" rtlCol="0">
                          <a:spAutoFit/>
                        </a:bodyPr>
                        <a:lstStyle>
                          <a:defPPr>
                            <a:defRPr lang="en-US"/>
                          </a:defPPr>
                          <a:lvl1pPr algn="l" rtl="0" fontAlgn="base">
                            <a:spcBef>
                              <a:spcPct val="0"/>
                            </a:spcBef>
                            <a:spcAft>
                              <a:spcPct val="0"/>
                            </a:spcAft>
                            <a:defRPr sz="2600" kern="1200">
                              <a:solidFill>
                                <a:schemeClr val="tx1"/>
                              </a:solidFill>
                              <a:latin typeface="Times New Roman" pitchFamily="18" charset="0"/>
                              <a:ea typeface="+mn-ea"/>
                              <a:cs typeface="+mn-cs"/>
                            </a:defRPr>
                          </a:lvl1pPr>
                          <a:lvl2pPr marL="429905" algn="l" rtl="0" fontAlgn="base">
                            <a:spcBef>
                              <a:spcPct val="0"/>
                            </a:spcBef>
                            <a:spcAft>
                              <a:spcPct val="0"/>
                            </a:spcAft>
                            <a:defRPr sz="2600" kern="1200">
                              <a:solidFill>
                                <a:schemeClr val="tx1"/>
                              </a:solidFill>
                              <a:latin typeface="Times New Roman" pitchFamily="18" charset="0"/>
                              <a:ea typeface="+mn-ea"/>
                              <a:cs typeface="+mn-cs"/>
                            </a:defRPr>
                          </a:lvl2pPr>
                          <a:lvl3pPr marL="859810" algn="l" rtl="0" fontAlgn="base">
                            <a:spcBef>
                              <a:spcPct val="0"/>
                            </a:spcBef>
                            <a:spcAft>
                              <a:spcPct val="0"/>
                            </a:spcAft>
                            <a:defRPr sz="2600" kern="1200">
                              <a:solidFill>
                                <a:schemeClr val="tx1"/>
                              </a:solidFill>
                              <a:latin typeface="Times New Roman" pitchFamily="18" charset="0"/>
                              <a:ea typeface="+mn-ea"/>
                              <a:cs typeface="+mn-cs"/>
                            </a:defRPr>
                          </a:lvl3pPr>
                          <a:lvl4pPr marL="1289715" algn="l" rtl="0" fontAlgn="base">
                            <a:spcBef>
                              <a:spcPct val="0"/>
                            </a:spcBef>
                            <a:spcAft>
                              <a:spcPct val="0"/>
                            </a:spcAft>
                            <a:defRPr sz="2600" kern="1200">
                              <a:solidFill>
                                <a:schemeClr val="tx1"/>
                              </a:solidFill>
                              <a:latin typeface="Times New Roman" pitchFamily="18" charset="0"/>
                              <a:ea typeface="+mn-ea"/>
                              <a:cs typeface="+mn-cs"/>
                            </a:defRPr>
                          </a:lvl4pPr>
                          <a:lvl5pPr marL="1719621" algn="l" rtl="0" fontAlgn="base">
                            <a:spcBef>
                              <a:spcPct val="0"/>
                            </a:spcBef>
                            <a:spcAft>
                              <a:spcPct val="0"/>
                            </a:spcAft>
                            <a:defRPr sz="2600" kern="1200">
                              <a:solidFill>
                                <a:schemeClr val="tx1"/>
                              </a:solidFill>
                              <a:latin typeface="Times New Roman" pitchFamily="18" charset="0"/>
                              <a:ea typeface="+mn-ea"/>
                              <a:cs typeface="+mn-cs"/>
                            </a:defRPr>
                          </a:lvl5pPr>
                          <a:lvl6pPr marL="2149526" algn="l" defTabSz="859810" rtl="0" eaLnBrk="1" latinLnBrk="0" hangingPunct="1">
                            <a:defRPr sz="2600" kern="1200">
                              <a:solidFill>
                                <a:schemeClr val="tx1"/>
                              </a:solidFill>
                              <a:latin typeface="Times New Roman" pitchFamily="18" charset="0"/>
                              <a:ea typeface="+mn-ea"/>
                              <a:cs typeface="+mn-cs"/>
                            </a:defRPr>
                          </a:lvl6pPr>
                          <a:lvl7pPr marL="2579431" algn="l" defTabSz="859810" rtl="0" eaLnBrk="1" latinLnBrk="0" hangingPunct="1">
                            <a:defRPr sz="2600" kern="1200">
                              <a:solidFill>
                                <a:schemeClr val="tx1"/>
                              </a:solidFill>
                              <a:latin typeface="Times New Roman" pitchFamily="18" charset="0"/>
                              <a:ea typeface="+mn-ea"/>
                              <a:cs typeface="+mn-cs"/>
                            </a:defRPr>
                          </a:lvl7pPr>
                          <a:lvl8pPr marL="3009336" algn="l" defTabSz="859810" rtl="0" eaLnBrk="1" latinLnBrk="0" hangingPunct="1">
                            <a:defRPr sz="2600" kern="1200">
                              <a:solidFill>
                                <a:schemeClr val="tx1"/>
                              </a:solidFill>
                              <a:latin typeface="Times New Roman" pitchFamily="18" charset="0"/>
                              <a:ea typeface="+mn-ea"/>
                              <a:cs typeface="+mn-cs"/>
                            </a:defRPr>
                          </a:lvl8pPr>
                          <a:lvl9pPr marL="3439241" algn="l" defTabSz="859810" rtl="0" eaLnBrk="1" latinLnBrk="0" hangingPunct="1">
                            <a:defRPr sz="2600" kern="1200">
                              <a:solidFill>
                                <a:schemeClr val="tx1"/>
                              </a:solidFill>
                              <a:latin typeface="Times New Roman" pitchFamily="18" charset="0"/>
                              <a:ea typeface="+mn-ea"/>
                              <a:cs typeface="+mn-cs"/>
                            </a:defRPr>
                          </a:lvl9pPr>
                        </a:lstStyle>
                        <a:p>
                          <a:pPr algn="just"/>
                          <a:r>
                            <a:rPr lang="el-GR" dirty="0" err="1" smtClean="0">
                              <a:solidFill>
                                <a:srgbClr val="CC0099"/>
                              </a:solidFill>
                            </a:rPr>
                            <a:t>υδρογονοαποξυγόνωση</a:t>
                          </a:r>
                          <a:r>
                            <a:rPr lang="el-GR" dirty="0" smtClean="0">
                              <a:solidFill>
                                <a:srgbClr val="CC0099"/>
                              </a:solidFill>
                            </a:rPr>
                            <a:t> (</a:t>
                          </a:r>
                          <a:r>
                            <a:rPr lang="en-US" dirty="0" smtClean="0">
                              <a:solidFill>
                                <a:srgbClr val="CC0099"/>
                              </a:solidFill>
                            </a:rPr>
                            <a:t>HD</a:t>
                          </a:r>
                          <a:r>
                            <a:rPr lang="el-GR" dirty="0" smtClean="0">
                              <a:solidFill>
                                <a:srgbClr val="CC0099"/>
                              </a:solidFill>
                            </a:rPr>
                            <a:t>O)</a:t>
                          </a:r>
                          <a:endParaRPr lang="el-GR" dirty="0">
                            <a:solidFill>
                              <a:srgbClr val="CC0099"/>
                            </a:solidFill>
                          </a:endParaRPr>
                        </a:p>
                      </a:txBody>
                      <a:useSpRect/>
                    </a:txSp>
                  </a:sp>
                </lc:lockedCanvas>
              </a:graphicData>
            </a:graphic>
          </wp:inline>
        </w:drawing>
      </w:r>
    </w:p>
    <w:p w:rsidR="00BD710D" w:rsidRDefault="00BD710D" w:rsidP="000F12FF">
      <w:pPr>
        <w:ind w:right="-58"/>
        <w:jc w:val="both"/>
        <w:rPr>
          <w:lang w:val="el-GR"/>
        </w:rPr>
      </w:pPr>
    </w:p>
    <w:p w:rsidR="00ED6158" w:rsidRDefault="00ED6158" w:rsidP="000F12FF">
      <w:pPr>
        <w:ind w:right="-58"/>
        <w:jc w:val="both"/>
        <w:rPr>
          <w:b/>
          <w:lang w:val="el-GR"/>
        </w:rPr>
      </w:pPr>
    </w:p>
    <w:p w:rsidR="004D14C0" w:rsidRPr="00417108" w:rsidRDefault="00BD710D" w:rsidP="000F12FF">
      <w:pPr>
        <w:ind w:right="-58"/>
        <w:jc w:val="both"/>
        <w:rPr>
          <w:lang w:val="el-GR"/>
        </w:rPr>
      </w:pPr>
      <w:r w:rsidRPr="00BD710D">
        <w:rPr>
          <w:b/>
          <w:lang w:val="el-GR"/>
        </w:rPr>
        <w:t>Σχήμα 1</w:t>
      </w:r>
      <w:r>
        <w:rPr>
          <w:lang w:val="el-GR"/>
        </w:rPr>
        <w:t xml:space="preserve">. Οι αντιδράσεις της </w:t>
      </w:r>
      <w:r w:rsidRPr="00417108">
        <w:rPr>
          <w:lang w:val="el-GR"/>
        </w:rPr>
        <w:t>εκλεκτική</w:t>
      </w:r>
      <w:r>
        <w:rPr>
          <w:lang w:val="el-GR"/>
        </w:rPr>
        <w:t>ς</w:t>
      </w:r>
      <w:r w:rsidRPr="00417108">
        <w:rPr>
          <w:lang w:val="el-GR"/>
        </w:rPr>
        <w:t xml:space="preserve"> </w:t>
      </w:r>
      <w:proofErr w:type="spellStart"/>
      <w:r w:rsidRPr="00417108">
        <w:rPr>
          <w:lang w:val="el-GR"/>
        </w:rPr>
        <w:t>αποξυγόνωση</w:t>
      </w:r>
      <w:r>
        <w:rPr>
          <w:lang w:val="el-GR"/>
        </w:rPr>
        <w:t>ς</w:t>
      </w:r>
      <w:proofErr w:type="spellEnd"/>
      <w:r>
        <w:rPr>
          <w:lang w:val="el-GR"/>
        </w:rPr>
        <w:t xml:space="preserve"> φυτικών </w:t>
      </w:r>
      <w:proofErr w:type="spellStart"/>
      <w:r>
        <w:rPr>
          <w:lang w:val="el-GR"/>
        </w:rPr>
        <w:t>τριγλυκεριδίων</w:t>
      </w:r>
      <w:proofErr w:type="spellEnd"/>
      <w:r>
        <w:rPr>
          <w:lang w:val="el-GR"/>
        </w:rPr>
        <w:t>.</w:t>
      </w:r>
    </w:p>
    <w:p w:rsidR="004D14C0" w:rsidRPr="00417108" w:rsidRDefault="004D14C0" w:rsidP="000F12FF">
      <w:pPr>
        <w:ind w:right="-58"/>
        <w:jc w:val="both"/>
        <w:rPr>
          <w:lang w:val="el-GR"/>
        </w:rPr>
      </w:pPr>
    </w:p>
    <w:p w:rsidR="00050EE3" w:rsidRPr="00417108" w:rsidRDefault="00193710" w:rsidP="000F12FF">
      <w:pPr>
        <w:ind w:right="-58"/>
        <w:jc w:val="both"/>
        <w:rPr>
          <w:lang w:val="el-GR"/>
        </w:rPr>
      </w:pPr>
      <w:r>
        <w:rPr>
          <w:lang w:val="el-GR"/>
        </w:rPr>
        <w:tab/>
      </w:r>
      <w:r w:rsidR="00834F3E" w:rsidRPr="00417108">
        <w:rPr>
          <w:lang w:val="el-GR"/>
        </w:rPr>
        <w:t xml:space="preserve">Ως πρώτη ύλη </w:t>
      </w:r>
      <w:r w:rsidR="00050EE3" w:rsidRPr="00417108">
        <w:rPr>
          <w:lang w:val="el-GR"/>
        </w:rPr>
        <w:t>χρησιμοποιήθηκε το ηλιέλαιο (παράγεται ήδη στην Ελλάδα από τον</w:t>
      </w:r>
      <w:r w:rsidR="00834F3E" w:rsidRPr="00417108">
        <w:rPr>
          <w:lang w:val="el-GR"/>
        </w:rPr>
        <w:t xml:space="preserve"> ηλίανθο, σε μεγάλες ποσότητες, </w:t>
      </w:r>
      <w:r w:rsidR="00050EE3" w:rsidRPr="00417108">
        <w:rPr>
          <w:lang w:val="el-GR"/>
        </w:rPr>
        <w:t xml:space="preserve">καθώς είναι η κύρια πρώτη </w:t>
      </w:r>
      <w:r w:rsidR="003B4C1E" w:rsidRPr="00417108">
        <w:rPr>
          <w:lang w:val="el-GR"/>
        </w:rPr>
        <w:t xml:space="preserve">ύλη για την παραγωγή </w:t>
      </w:r>
      <w:proofErr w:type="spellStart"/>
      <w:r w:rsidR="003B4C1E" w:rsidRPr="00417108">
        <w:rPr>
          <w:lang w:val="el-GR"/>
        </w:rPr>
        <w:t>βιοντίζελ</w:t>
      </w:r>
      <w:proofErr w:type="spellEnd"/>
      <w:r w:rsidR="003B4C1E" w:rsidRPr="00417108">
        <w:rPr>
          <w:lang w:val="el-GR"/>
        </w:rPr>
        <w:t>) καθώς και χρησιμοποιημένο λάδι (</w:t>
      </w:r>
      <w:proofErr w:type="spellStart"/>
      <w:r w:rsidR="003B4C1E" w:rsidRPr="00417108">
        <w:rPr>
          <w:lang w:val="el-GR"/>
        </w:rPr>
        <w:t>τηγανέλαιο</w:t>
      </w:r>
      <w:proofErr w:type="spellEnd"/>
      <w:r w:rsidR="003B4C1E" w:rsidRPr="00417108">
        <w:rPr>
          <w:lang w:val="el-GR"/>
        </w:rPr>
        <w:t>)</w:t>
      </w:r>
      <w:r w:rsidR="00BD69C2" w:rsidRPr="00417108">
        <w:rPr>
          <w:lang w:val="el-GR"/>
        </w:rPr>
        <w:t xml:space="preserve"> το οποίο προμηθευτήκαμε από εταιρεία συλλογής χρησιμοποιημένων ελαίων</w:t>
      </w:r>
      <w:r w:rsidR="003B4C1E" w:rsidRPr="00417108">
        <w:rPr>
          <w:lang w:val="el-GR"/>
        </w:rPr>
        <w:t>.</w:t>
      </w:r>
      <w:r w:rsidR="00050EE3" w:rsidRPr="00417108">
        <w:rPr>
          <w:lang w:val="el-GR"/>
        </w:rPr>
        <w:t xml:space="preserve"> Οι καταλύτες που αναπτύσσουμε βασίζονται στο νικέλιο, καθώς αποτελεί μια πολύ καλή χαμηλού κόστους εναλλακτική επιλογή, αντί </w:t>
      </w:r>
      <w:r w:rsidR="00DD726A" w:rsidRPr="00417108">
        <w:rPr>
          <w:lang w:val="el-GR"/>
        </w:rPr>
        <w:t>των ακριβών ευγενών μετάλλων</w:t>
      </w:r>
      <w:r w:rsidR="004D14C0" w:rsidRPr="00417108">
        <w:rPr>
          <w:lang w:val="el-GR"/>
        </w:rPr>
        <w:t xml:space="preserve"> [4]</w:t>
      </w:r>
      <w:r w:rsidR="00050EE3" w:rsidRPr="00417108">
        <w:rPr>
          <w:lang w:val="el-GR"/>
        </w:rPr>
        <w:t>.</w:t>
      </w:r>
    </w:p>
    <w:p w:rsidR="0042022C" w:rsidRDefault="0042022C" w:rsidP="000F12FF">
      <w:pPr>
        <w:ind w:right="-58"/>
        <w:jc w:val="both"/>
        <w:rPr>
          <w:lang w:val="el-GR"/>
        </w:rPr>
      </w:pPr>
    </w:p>
    <w:p w:rsidR="00ED6158" w:rsidRDefault="00ED6158" w:rsidP="000F12FF">
      <w:pPr>
        <w:ind w:right="-58"/>
        <w:jc w:val="both"/>
        <w:rPr>
          <w:lang w:val="el-GR"/>
        </w:rPr>
      </w:pPr>
    </w:p>
    <w:p w:rsidR="00ED6158" w:rsidRDefault="00ED6158" w:rsidP="000F12FF">
      <w:pPr>
        <w:ind w:right="-58"/>
        <w:jc w:val="both"/>
        <w:rPr>
          <w:lang w:val="el-GR"/>
        </w:rPr>
      </w:pPr>
    </w:p>
    <w:p w:rsidR="00ED6158" w:rsidRPr="00417108" w:rsidRDefault="00ED6158" w:rsidP="000F12FF">
      <w:pPr>
        <w:ind w:right="-58"/>
        <w:jc w:val="both"/>
        <w:rPr>
          <w:lang w:val="el-GR"/>
        </w:rPr>
      </w:pPr>
    </w:p>
    <w:p w:rsidR="0042022C" w:rsidRPr="00417108" w:rsidRDefault="0042022C" w:rsidP="000F12FF">
      <w:pPr>
        <w:ind w:right="-58"/>
        <w:jc w:val="both"/>
        <w:rPr>
          <w:b/>
          <w:lang w:val="el-GR"/>
        </w:rPr>
      </w:pPr>
      <w:r w:rsidRPr="00417108">
        <w:rPr>
          <w:b/>
          <w:lang w:val="el-GR"/>
        </w:rPr>
        <w:lastRenderedPageBreak/>
        <w:t>Πειραματικό μέρος</w:t>
      </w:r>
    </w:p>
    <w:p w:rsidR="00794F40" w:rsidRDefault="00794F40" w:rsidP="00EA051A">
      <w:pPr>
        <w:tabs>
          <w:tab w:val="num" w:pos="720"/>
        </w:tabs>
        <w:ind w:right="-58"/>
        <w:jc w:val="both"/>
        <w:rPr>
          <w:u w:val="single"/>
          <w:lang w:val="el-GR"/>
        </w:rPr>
      </w:pPr>
    </w:p>
    <w:p w:rsidR="005D7556" w:rsidRPr="00417108" w:rsidRDefault="005D7556" w:rsidP="00EA051A">
      <w:pPr>
        <w:tabs>
          <w:tab w:val="num" w:pos="720"/>
        </w:tabs>
        <w:ind w:right="-58"/>
        <w:jc w:val="both"/>
        <w:rPr>
          <w:u w:val="single"/>
          <w:lang w:val="el-GR"/>
        </w:rPr>
      </w:pPr>
      <w:r w:rsidRPr="00417108">
        <w:rPr>
          <w:u w:val="single"/>
          <w:lang w:val="el-GR"/>
        </w:rPr>
        <w:t>Σύνθεση</w:t>
      </w:r>
    </w:p>
    <w:p w:rsidR="007A0F30" w:rsidRPr="007C7113" w:rsidRDefault="005D7556" w:rsidP="00EA051A">
      <w:pPr>
        <w:tabs>
          <w:tab w:val="num" w:pos="720"/>
        </w:tabs>
        <w:ind w:right="-58"/>
        <w:jc w:val="both"/>
        <w:rPr>
          <w:lang w:val="el-GR"/>
        </w:rPr>
      </w:pPr>
      <w:r w:rsidRPr="00417108">
        <w:rPr>
          <w:lang w:val="el-GR"/>
        </w:rPr>
        <w:tab/>
      </w:r>
      <w:r w:rsidR="000F12FF" w:rsidRPr="00417108">
        <w:rPr>
          <w:lang w:val="el-GR"/>
        </w:rPr>
        <w:t xml:space="preserve">Οι καταλύτες </w:t>
      </w:r>
      <w:r w:rsidR="000F12FF" w:rsidRPr="00417108">
        <w:rPr>
          <w:lang w:val="en-US"/>
        </w:rPr>
        <w:t>Ni</w:t>
      </w:r>
      <w:r w:rsidR="000F12FF" w:rsidRPr="00417108">
        <w:rPr>
          <w:lang w:val="el-GR"/>
        </w:rPr>
        <w:t>/</w:t>
      </w:r>
      <w:proofErr w:type="spellStart"/>
      <w:r w:rsidR="003B4C1E" w:rsidRPr="00417108">
        <w:rPr>
          <w:lang w:val="en-US"/>
        </w:rPr>
        <w:t>S</w:t>
      </w:r>
      <w:r w:rsidR="000F12FF" w:rsidRPr="00417108">
        <w:rPr>
          <w:lang w:val="en-US"/>
        </w:rPr>
        <w:t>iO</w:t>
      </w:r>
      <w:proofErr w:type="spellEnd"/>
      <w:r w:rsidR="000F12FF" w:rsidRPr="00417108">
        <w:rPr>
          <w:vertAlign w:val="subscript"/>
          <w:lang w:val="el-GR"/>
        </w:rPr>
        <w:t>2</w:t>
      </w:r>
      <w:r w:rsidR="003B4C1E" w:rsidRPr="00417108">
        <w:rPr>
          <w:lang w:val="el-GR"/>
        </w:rPr>
        <w:t xml:space="preserve"> παρασκευάστηκαν με τη μέθοδο</w:t>
      </w:r>
      <w:r w:rsidR="000F12FF" w:rsidRPr="00417108">
        <w:rPr>
          <w:lang w:val="el-GR"/>
        </w:rPr>
        <w:t xml:space="preserve"> </w:t>
      </w:r>
      <w:r w:rsidR="003B4C1E" w:rsidRPr="00417108">
        <w:rPr>
          <w:lang w:val="el-GR"/>
        </w:rPr>
        <w:t>του διαδοχικού ξηρού εμποτισμού</w:t>
      </w:r>
      <w:r w:rsidR="000F12FF" w:rsidRPr="00417108">
        <w:rPr>
          <w:lang w:val="el-GR"/>
        </w:rPr>
        <w:t xml:space="preserve">. </w:t>
      </w:r>
      <w:r w:rsidR="003B4C1E" w:rsidRPr="00417108">
        <w:rPr>
          <w:lang w:val="el-GR"/>
        </w:rPr>
        <w:t xml:space="preserve">Σε πρώτη φάση παρασκευάστηκαν δύο </w:t>
      </w:r>
      <w:r w:rsidR="00A04041">
        <w:rPr>
          <w:lang w:val="el-GR"/>
        </w:rPr>
        <w:t>σειρές καταλυτών</w:t>
      </w:r>
      <w:r w:rsidR="00A04041" w:rsidRPr="00A04041">
        <w:rPr>
          <w:lang w:val="el-GR"/>
        </w:rPr>
        <w:t>,</w:t>
      </w:r>
      <w:r w:rsidR="003B4C1E" w:rsidRPr="00417108">
        <w:rPr>
          <w:lang w:val="el-GR"/>
        </w:rPr>
        <w:t xml:space="preserve"> </w:t>
      </w:r>
      <w:r w:rsidR="00A04041">
        <w:rPr>
          <w:lang w:val="el-GR"/>
        </w:rPr>
        <w:t xml:space="preserve">όπου η κάθε σειρά αποτελούταν από δύο καταλύτες, έναν </w:t>
      </w:r>
      <w:r w:rsidR="003B4C1E" w:rsidRPr="00417108">
        <w:rPr>
          <w:lang w:val="el-GR"/>
        </w:rPr>
        <w:t>με ποσοστό</w:t>
      </w:r>
      <w:r w:rsidR="00A04041">
        <w:rPr>
          <w:lang w:val="el-GR"/>
        </w:rPr>
        <w:t xml:space="preserve"> </w:t>
      </w:r>
      <w:r w:rsidR="003B4C1E" w:rsidRPr="00417108">
        <w:rPr>
          <w:lang w:val="el-GR"/>
        </w:rPr>
        <w:t xml:space="preserve">30% </w:t>
      </w:r>
      <w:proofErr w:type="spellStart"/>
      <w:r w:rsidR="003B4C1E" w:rsidRPr="00417108">
        <w:rPr>
          <w:lang w:val="el-GR"/>
        </w:rPr>
        <w:t>κ.β</w:t>
      </w:r>
      <w:proofErr w:type="spellEnd"/>
      <w:r w:rsidR="003B4C1E" w:rsidRPr="00417108">
        <w:rPr>
          <w:lang w:val="el-GR"/>
        </w:rPr>
        <w:t xml:space="preserve">. </w:t>
      </w:r>
      <w:proofErr w:type="gramStart"/>
      <w:r w:rsidR="003B4C1E" w:rsidRPr="00417108">
        <w:rPr>
          <w:lang w:val="en-US"/>
        </w:rPr>
        <w:t>Ni</w:t>
      </w:r>
      <w:r w:rsidR="00A04041">
        <w:rPr>
          <w:lang w:val="el-GR"/>
        </w:rPr>
        <w:t xml:space="preserve"> και έναν με ποσοστό 5</w:t>
      </w:r>
      <w:r w:rsidR="00A04041" w:rsidRPr="00417108">
        <w:rPr>
          <w:lang w:val="el-GR"/>
        </w:rPr>
        <w:t xml:space="preserve">0% </w:t>
      </w:r>
      <w:proofErr w:type="spellStart"/>
      <w:r w:rsidR="00A04041" w:rsidRPr="00417108">
        <w:rPr>
          <w:lang w:val="el-GR"/>
        </w:rPr>
        <w:t>κ.β</w:t>
      </w:r>
      <w:proofErr w:type="spellEnd"/>
      <w:r w:rsidR="00A04041" w:rsidRPr="00417108">
        <w:rPr>
          <w:lang w:val="el-GR"/>
        </w:rPr>
        <w:t xml:space="preserve">. </w:t>
      </w:r>
      <w:r w:rsidR="00A04041" w:rsidRPr="00417108">
        <w:rPr>
          <w:lang w:val="en-US"/>
        </w:rPr>
        <w:t>Ni</w:t>
      </w:r>
      <w:r w:rsidR="00A04041">
        <w:rPr>
          <w:lang w:val="el-GR"/>
        </w:rPr>
        <w:t>.</w:t>
      </w:r>
      <w:proofErr w:type="gramEnd"/>
      <w:r w:rsidR="003B4C1E" w:rsidRPr="00417108">
        <w:rPr>
          <w:lang w:val="el-GR"/>
        </w:rPr>
        <w:t xml:space="preserve"> </w:t>
      </w:r>
      <w:r w:rsidR="00A04041">
        <w:rPr>
          <w:lang w:val="el-GR"/>
        </w:rPr>
        <w:t xml:space="preserve">Για τη σύνθεση της πρώτης σειράς χρησιμοποιήθηκε </w:t>
      </w:r>
      <w:r w:rsidR="00326205" w:rsidRPr="00417108">
        <w:rPr>
          <w:lang w:val="el-GR"/>
        </w:rPr>
        <w:t xml:space="preserve">το γνωστό και ευρέως χρησιμοποιούμενο υδατικό </w:t>
      </w:r>
      <w:proofErr w:type="spellStart"/>
      <w:r w:rsidR="00326205" w:rsidRPr="00417108">
        <w:rPr>
          <w:lang w:val="el-GR"/>
        </w:rPr>
        <w:t>σύμπλοκο</w:t>
      </w:r>
      <w:proofErr w:type="spellEnd"/>
      <w:r w:rsidR="000F12FF" w:rsidRPr="00417108">
        <w:rPr>
          <w:lang w:val="el-GR"/>
        </w:rPr>
        <w:t xml:space="preserve"> [</w:t>
      </w:r>
      <w:r w:rsidR="000F12FF" w:rsidRPr="00417108">
        <w:t>Ni</w:t>
      </w:r>
      <w:r w:rsidR="000F12FF" w:rsidRPr="00417108">
        <w:rPr>
          <w:lang w:val="el-GR"/>
        </w:rPr>
        <w:t>(</w:t>
      </w:r>
      <w:r w:rsidR="000F12FF" w:rsidRPr="00417108">
        <w:t>H</w:t>
      </w:r>
      <w:r w:rsidR="000F12FF" w:rsidRPr="00417108">
        <w:rPr>
          <w:vertAlign w:val="subscript"/>
          <w:lang w:val="el-GR"/>
        </w:rPr>
        <w:t>2</w:t>
      </w:r>
      <w:r w:rsidR="000F12FF" w:rsidRPr="00417108">
        <w:t>O</w:t>
      </w:r>
      <w:r w:rsidR="000F12FF" w:rsidRPr="00417108">
        <w:rPr>
          <w:lang w:val="el-GR"/>
        </w:rPr>
        <w:t>)</w:t>
      </w:r>
      <w:r w:rsidR="000F12FF" w:rsidRPr="00417108">
        <w:rPr>
          <w:vertAlign w:val="subscript"/>
          <w:lang w:val="el-GR"/>
        </w:rPr>
        <w:t>6</w:t>
      </w:r>
      <w:r w:rsidR="000F12FF" w:rsidRPr="00417108">
        <w:rPr>
          <w:lang w:val="el-GR"/>
        </w:rPr>
        <w:t>]</w:t>
      </w:r>
      <w:r w:rsidR="000F12FF" w:rsidRPr="00417108">
        <w:rPr>
          <w:vertAlign w:val="superscript"/>
          <w:lang w:val="el-GR"/>
        </w:rPr>
        <w:t>2+</w:t>
      </w:r>
      <w:r w:rsidR="00A04041">
        <w:rPr>
          <w:lang w:val="el-GR"/>
        </w:rPr>
        <w:t xml:space="preserve">, το οποίο προκύπτει από τη διάλυση του πρόδρομου στερεού </w:t>
      </w:r>
      <w:r w:rsidR="00A04041">
        <w:rPr>
          <w:lang w:val="en-US"/>
        </w:rPr>
        <w:t>Ni</w:t>
      </w:r>
      <w:r w:rsidR="00A04041" w:rsidRPr="00A04041">
        <w:rPr>
          <w:lang w:val="el-GR"/>
        </w:rPr>
        <w:t>(</w:t>
      </w:r>
      <w:r w:rsidR="00A04041">
        <w:rPr>
          <w:lang w:val="en-US"/>
        </w:rPr>
        <w:t>NO</w:t>
      </w:r>
      <w:r w:rsidR="00A04041" w:rsidRPr="00A04041">
        <w:rPr>
          <w:vertAlign w:val="subscript"/>
          <w:lang w:val="el-GR"/>
        </w:rPr>
        <w:t>3</w:t>
      </w:r>
      <w:r w:rsidR="00A04041" w:rsidRPr="00A04041">
        <w:rPr>
          <w:lang w:val="el-GR"/>
        </w:rPr>
        <w:t>)</w:t>
      </w:r>
      <w:r w:rsidR="00A04041" w:rsidRPr="00A04041">
        <w:rPr>
          <w:vertAlign w:val="subscript"/>
          <w:lang w:val="el-GR"/>
        </w:rPr>
        <w:t>2</w:t>
      </w:r>
      <w:r w:rsidR="00A04041" w:rsidRPr="00A04041">
        <w:rPr>
          <w:lang w:val="el-GR"/>
        </w:rPr>
        <w:t xml:space="preserve">. </w:t>
      </w:r>
      <w:r w:rsidR="00A04041">
        <w:rPr>
          <w:lang w:val="el-GR"/>
        </w:rPr>
        <w:t xml:space="preserve">Για αυτό το λόγο οι καταλύτες αυτής της σειράς φέρουν την </w:t>
      </w:r>
      <w:proofErr w:type="spellStart"/>
      <w:r w:rsidR="00A04041">
        <w:rPr>
          <w:lang w:val="el-GR"/>
        </w:rPr>
        <w:t>κωδική</w:t>
      </w:r>
      <w:proofErr w:type="spellEnd"/>
      <w:r w:rsidR="00A04041">
        <w:rPr>
          <w:lang w:val="el-GR"/>
        </w:rPr>
        <w:t xml:space="preserve"> ονομασία </w:t>
      </w:r>
      <w:proofErr w:type="spellStart"/>
      <w:r w:rsidR="00A04041">
        <w:rPr>
          <w:lang w:val="en-US"/>
        </w:rPr>
        <w:t>x</w:t>
      </w:r>
      <w:r w:rsidR="00A04041" w:rsidRPr="00417108">
        <w:rPr>
          <w:lang w:val="en-US"/>
        </w:rPr>
        <w:t>Ni</w:t>
      </w:r>
      <w:proofErr w:type="spellEnd"/>
      <w:r w:rsidR="00A04041" w:rsidRPr="00A04041">
        <w:rPr>
          <w:lang w:val="el-GR"/>
        </w:rPr>
        <w:t>(</w:t>
      </w:r>
      <w:r w:rsidR="00A04041" w:rsidRPr="00417108">
        <w:rPr>
          <w:lang w:val="en-US"/>
        </w:rPr>
        <w:t>NO</w:t>
      </w:r>
      <w:r w:rsidR="00A04041" w:rsidRPr="00A04041">
        <w:rPr>
          <w:vertAlign w:val="subscript"/>
          <w:lang w:val="el-GR"/>
        </w:rPr>
        <w:t>3</w:t>
      </w:r>
      <w:r w:rsidR="00A04041" w:rsidRPr="00A04041">
        <w:rPr>
          <w:lang w:val="el-GR"/>
        </w:rPr>
        <w:t>)</w:t>
      </w:r>
      <w:r w:rsidR="00A04041" w:rsidRPr="00A04041">
        <w:rPr>
          <w:vertAlign w:val="subscript"/>
          <w:lang w:val="el-GR"/>
        </w:rPr>
        <w:t>2</w:t>
      </w:r>
      <w:proofErr w:type="spellStart"/>
      <w:r w:rsidR="00A04041" w:rsidRPr="00417108">
        <w:rPr>
          <w:lang w:val="en-US"/>
        </w:rPr>
        <w:t>SiO</w:t>
      </w:r>
      <w:proofErr w:type="spellEnd"/>
      <w:r w:rsidR="00A04041" w:rsidRPr="00A04041">
        <w:rPr>
          <w:vertAlign w:val="subscript"/>
          <w:lang w:val="el-GR"/>
        </w:rPr>
        <w:t>2</w:t>
      </w:r>
      <w:r w:rsidR="00A04041" w:rsidRPr="00A04041">
        <w:rPr>
          <w:lang w:val="el-GR"/>
        </w:rPr>
        <w:t xml:space="preserve">, </w:t>
      </w:r>
      <w:r w:rsidR="00A04041">
        <w:rPr>
          <w:lang w:val="el-GR"/>
        </w:rPr>
        <w:t xml:space="preserve">όπου </w:t>
      </w:r>
      <w:r w:rsidR="00A04041">
        <w:rPr>
          <w:lang w:val="en-US"/>
        </w:rPr>
        <w:t>x</w:t>
      </w:r>
      <w:r w:rsidR="00A04041" w:rsidRPr="00A04041">
        <w:rPr>
          <w:lang w:val="el-GR"/>
        </w:rPr>
        <w:t xml:space="preserve"> </w:t>
      </w:r>
      <w:r w:rsidR="00A04041">
        <w:rPr>
          <w:lang w:val="el-GR"/>
        </w:rPr>
        <w:t xml:space="preserve">είναι το % </w:t>
      </w:r>
      <w:proofErr w:type="spellStart"/>
      <w:r w:rsidR="00A04041">
        <w:rPr>
          <w:lang w:val="el-GR"/>
        </w:rPr>
        <w:t>κ.β</w:t>
      </w:r>
      <w:proofErr w:type="spellEnd"/>
      <w:r w:rsidR="00A04041">
        <w:rPr>
          <w:lang w:val="el-GR"/>
        </w:rPr>
        <w:t xml:space="preserve">. ποσοστό του </w:t>
      </w:r>
      <w:r w:rsidR="00A04041">
        <w:rPr>
          <w:lang w:val="en-US"/>
        </w:rPr>
        <w:t>Ni</w:t>
      </w:r>
      <w:r w:rsidR="00A04041" w:rsidRPr="00A04041">
        <w:rPr>
          <w:lang w:val="el-GR"/>
        </w:rPr>
        <w:t xml:space="preserve"> </w:t>
      </w:r>
      <w:r w:rsidR="00A04041">
        <w:rPr>
          <w:lang w:val="el-GR"/>
        </w:rPr>
        <w:t xml:space="preserve">στους καταλύτες. Για τη σύνθεση της δεύτερης σειράς χρησιμοποιήθηκε </w:t>
      </w:r>
      <w:r w:rsidR="00A04041" w:rsidRPr="00417108">
        <w:rPr>
          <w:lang w:val="el-GR"/>
        </w:rPr>
        <w:t xml:space="preserve">το </w:t>
      </w:r>
      <w:proofErr w:type="spellStart"/>
      <w:r w:rsidR="00326205" w:rsidRPr="00417108">
        <w:rPr>
          <w:lang w:val="el-GR"/>
        </w:rPr>
        <w:t>σύμπλοκο</w:t>
      </w:r>
      <w:proofErr w:type="spellEnd"/>
      <w:r w:rsidR="00326205" w:rsidRPr="00417108">
        <w:rPr>
          <w:lang w:val="el-GR"/>
        </w:rPr>
        <w:t xml:space="preserve"> </w:t>
      </w:r>
      <w:r w:rsidR="000F12FF" w:rsidRPr="00417108">
        <w:rPr>
          <w:lang w:val="el-GR"/>
        </w:rPr>
        <w:t>[</w:t>
      </w:r>
      <w:r w:rsidR="000F12FF" w:rsidRPr="00417108">
        <w:t>Ni</w:t>
      </w:r>
      <w:r w:rsidR="000F12FF" w:rsidRPr="00417108">
        <w:rPr>
          <w:lang w:val="el-GR"/>
        </w:rPr>
        <w:t>(</w:t>
      </w:r>
      <w:r w:rsidR="000F12FF" w:rsidRPr="00417108">
        <w:t>en</w:t>
      </w:r>
      <w:r w:rsidR="000F12FF" w:rsidRPr="00417108">
        <w:rPr>
          <w:lang w:val="el-GR"/>
        </w:rPr>
        <w:t>)</w:t>
      </w:r>
      <w:r w:rsidR="000F12FF" w:rsidRPr="00417108">
        <w:rPr>
          <w:vertAlign w:val="subscript"/>
          <w:lang w:val="el-GR"/>
        </w:rPr>
        <w:t>3</w:t>
      </w:r>
      <w:r w:rsidR="000F12FF" w:rsidRPr="00417108">
        <w:rPr>
          <w:lang w:val="el-GR"/>
        </w:rPr>
        <w:t>]</w:t>
      </w:r>
      <w:r w:rsidR="000F12FF" w:rsidRPr="00417108">
        <w:rPr>
          <w:vertAlign w:val="superscript"/>
          <w:lang w:val="el-GR"/>
        </w:rPr>
        <w:t>2+</w:t>
      </w:r>
      <w:r w:rsidR="0061553F" w:rsidRPr="00417108">
        <w:rPr>
          <w:lang w:val="el-GR"/>
        </w:rPr>
        <w:t xml:space="preserve">, </w:t>
      </w:r>
      <w:r w:rsidR="00794F40" w:rsidRPr="00794F40">
        <w:rPr>
          <w:lang w:val="el-GR"/>
        </w:rPr>
        <w:t>(</w:t>
      </w:r>
      <w:r w:rsidR="00326205" w:rsidRPr="00417108">
        <w:rPr>
          <w:lang w:val="el-GR"/>
        </w:rPr>
        <w:t>όπ</w:t>
      </w:r>
      <w:r w:rsidR="008E4905" w:rsidRPr="00417108">
        <w:rPr>
          <w:lang w:val="el-GR"/>
        </w:rPr>
        <w:t xml:space="preserve">ου </w:t>
      </w:r>
      <w:r w:rsidR="008E4905" w:rsidRPr="00417108">
        <w:rPr>
          <w:lang w:val="en-US"/>
        </w:rPr>
        <w:t>en</w:t>
      </w:r>
      <w:r w:rsidR="008E4905" w:rsidRPr="00417108">
        <w:rPr>
          <w:lang w:val="el-GR"/>
        </w:rPr>
        <w:t xml:space="preserve">: </w:t>
      </w:r>
      <w:proofErr w:type="spellStart"/>
      <w:r w:rsidR="008E4905" w:rsidRPr="00417108">
        <w:rPr>
          <w:lang w:val="el-GR"/>
        </w:rPr>
        <w:t>αιθυλενοδιαμίνη</w:t>
      </w:r>
      <w:proofErr w:type="spellEnd"/>
      <w:r w:rsidR="00794F40" w:rsidRPr="00794F40">
        <w:rPr>
          <w:lang w:val="el-GR"/>
        </w:rPr>
        <w:t xml:space="preserve">) </w:t>
      </w:r>
      <w:r w:rsidR="00794F40">
        <w:rPr>
          <w:lang w:val="el-GR"/>
        </w:rPr>
        <w:t xml:space="preserve">το οποίο προκύπτει από τη διάλυση του πρόδρομου στερεού </w:t>
      </w:r>
      <w:r w:rsidR="00794F40">
        <w:rPr>
          <w:lang w:val="es-ES"/>
        </w:rPr>
        <w:t>[Ni(en)</w:t>
      </w:r>
      <w:r w:rsidR="00794F40">
        <w:rPr>
          <w:vertAlign w:val="subscript"/>
          <w:lang w:val="es-ES"/>
        </w:rPr>
        <w:t>3</w:t>
      </w:r>
      <w:r w:rsidR="00794F40">
        <w:rPr>
          <w:lang w:val="es-ES"/>
        </w:rPr>
        <w:t>](NO</w:t>
      </w:r>
      <w:r w:rsidR="00794F40">
        <w:rPr>
          <w:vertAlign w:val="subscript"/>
          <w:lang w:val="es-ES"/>
        </w:rPr>
        <w:t>3</w:t>
      </w:r>
      <w:r w:rsidR="00794F40">
        <w:rPr>
          <w:lang w:val="es-ES"/>
        </w:rPr>
        <w:t>)</w:t>
      </w:r>
      <w:r w:rsidR="00794F40">
        <w:rPr>
          <w:vertAlign w:val="subscript"/>
          <w:lang w:val="es-ES"/>
        </w:rPr>
        <w:t>2</w:t>
      </w:r>
      <w:r w:rsidR="008E4905" w:rsidRPr="00417108">
        <w:rPr>
          <w:lang w:val="el-GR"/>
        </w:rPr>
        <w:t>.</w:t>
      </w:r>
      <w:r w:rsidR="00A04041">
        <w:rPr>
          <w:lang w:val="el-GR"/>
        </w:rPr>
        <w:t xml:space="preserve"> Για αυτό το λόγο οι καταλύτες αυτής της σειράς φέρουν την </w:t>
      </w:r>
      <w:proofErr w:type="spellStart"/>
      <w:r w:rsidR="00A04041">
        <w:rPr>
          <w:lang w:val="el-GR"/>
        </w:rPr>
        <w:t>κωδική</w:t>
      </w:r>
      <w:proofErr w:type="spellEnd"/>
      <w:r w:rsidR="00A04041">
        <w:rPr>
          <w:lang w:val="el-GR"/>
        </w:rPr>
        <w:t xml:space="preserve"> ονομασία </w:t>
      </w:r>
      <w:proofErr w:type="spellStart"/>
      <w:r w:rsidR="007C7113">
        <w:rPr>
          <w:lang w:val="en-US"/>
        </w:rPr>
        <w:t>x</w:t>
      </w:r>
      <w:r w:rsidR="007C7113" w:rsidRPr="00417108">
        <w:rPr>
          <w:lang w:val="en-US"/>
        </w:rPr>
        <w:t>Ni</w:t>
      </w:r>
      <w:proofErr w:type="spellEnd"/>
      <w:r w:rsidR="007C7113" w:rsidRPr="007C7113">
        <w:rPr>
          <w:lang w:val="el-GR"/>
        </w:rPr>
        <w:t>(</w:t>
      </w:r>
      <w:r w:rsidR="007C7113" w:rsidRPr="00417108">
        <w:rPr>
          <w:lang w:val="en-US"/>
        </w:rPr>
        <w:t>en</w:t>
      </w:r>
      <w:r w:rsidR="007C7113" w:rsidRPr="007C7113">
        <w:rPr>
          <w:lang w:val="el-GR"/>
        </w:rPr>
        <w:t>)</w:t>
      </w:r>
      <w:r w:rsidR="007C7113" w:rsidRPr="007C7113">
        <w:rPr>
          <w:vertAlign w:val="subscript"/>
          <w:lang w:val="el-GR"/>
        </w:rPr>
        <w:t>3</w:t>
      </w:r>
      <w:proofErr w:type="spellStart"/>
      <w:r w:rsidR="007C7113" w:rsidRPr="00417108">
        <w:rPr>
          <w:lang w:val="en-US"/>
        </w:rPr>
        <w:t>SiO</w:t>
      </w:r>
      <w:proofErr w:type="spellEnd"/>
      <w:r w:rsidR="007C7113" w:rsidRPr="007C7113">
        <w:rPr>
          <w:vertAlign w:val="subscript"/>
          <w:lang w:val="el-GR"/>
        </w:rPr>
        <w:t>2</w:t>
      </w:r>
      <w:r w:rsidR="007C7113" w:rsidRPr="007C7113">
        <w:rPr>
          <w:lang w:val="el-GR"/>
        </w:rPr>
        <w:t>.</w:t>
      </w:r>
    </w:p>
    <w:p w:rsidR="007A0F30" w:rsidRPr="00E53BC5" w:rsidRDefault="007A0F30" w:rsidP="00EA051A">
      <w:pPr>
        <w:tabs>
          <w:tab w:val="num" w:pos="720"/>
        </w:tabs>
        <w:ind w:right="-58"/>
        <w:jc w:val="both"/>
        <w:rPr>
          <w:lang w:val="el-GR"/>
        </w:rPr>
      </w:pPr>
    </w:p>
    <w:p w:rsidR="007A0F30" w:rsidRPr="00417108" w:rsidRDefault="007D6B57" w:rsidP="007D6B57">
      <w:pPr>
        <w:tabs>
          <w:tab w:val="num" w:pos="720"/>
        </w:tabs>
        <w:ind w:right="-58"/>
        <w:jc w:val="center"/>
        <w:rPr>
          <w:lang w:val="en-US"/>
        </w:rPr>
      </w:pPr>
      <w:r w:rsidRPr="00417108">
        <w:rPr>
          <w:noProof/>
          <w:lang w:val="el-GR" w:eastAsia="el-GR"/>
        </w:rPr>
        <w:drawing>
          <wp:inline distT="0" distB="0" distL="0" distR="0">
            <wp:extent cx="3312000" cy="1236103"/>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2000" cy="1236103"/>
                    </a:xfrm>
                    <a:prstGeom prst="rect">
                      <a:avLst/>
                    </a:prstGeom>
                    <a:noFill/>
                    <a:ln w="9525">
                      <a:noFill/>
                      <a:miter lim="800000"/>
                      <a:headEnd/>
                      <a:tailEnd/>
                    </a:ln>
                  </pic:spPr>
                </pic:pic>
              </a:graphicData>
            </a:graphic>
          </wp:inline>
        </w:drawing>
      </w:r>
    </w:p>
    <w:p w:rsidR="00417108" w:rsidRDefault="00417108" w:rsidP="00EA051A">
      <w:pPr>
        <w:tabs>
          <w:tab w:val="num" w:pos="720"/>
        </w:tabs>
        <w:ind w:right="-58"/>
        <w:jc w:val="both"/>
        <w:rPr>
          <w:b/>
          <w:lang w:val="el-GR"/>
        </w:rPr>
      </w:pPr>
    </w:p>
    <w:p w:rsidR="007A0F30" w:rsidRPr="00417108" w:rsidRDefault="007A0F30" w:rsidP="00EA051A">
      <w:pPr>
        <w:tabs>
          <w:tab w:val="num" w:pos="720"/>
        </w:tabs>
        <w:ind w:right="-58"/>
        <w:jc w:val="both"/>
        <w:rPr>
          <w:lang w:val="el-GR"/>
        </w:rPr>
      </w:pPr>
      <w:r w:rsidRPr="00417108">
        <w:rPr>
          <w:b/>
          <w:lang w:val="el-GR"/>
        </w:rPr>
        <w:t>Σχήμα 1</w:t>
      </w:r>
      <w:r w:rsidRPr="00417108">
        <w:rPr>
          <w:lang w:val="el-GR"/>
        </w:rPr>
        <w:t xml:space="preserve">. Τα </w:t>
      </w:r>
      <w:proofErr w:type="spellStart"/>
      <w:r w:rsidRPr="00417108">
        <w:rPr>
          <w:lang w:val="el-GR"/>
        </w:rPr>
        <w:t>σύμπλοκα</w:t>
      </w:r>
      <w:proofErr w:type="spellEnd"/>
      <w:r w:rsidRPr="00417108">
        <w:rPr>
          <w:lang w:val="el-GR"/>
        </w:rPr>
        <w:t xml:space="preserve"> του </w:t>
      </w:r>
      <w:r w:rsidRPr="00417108">
        <w:rPr>
          <w:lang w:val="en-US"/>
        </w:rPr>
        <w:t>Ni</w:t>
      </w:r>
      <w:r w:rsidRPr="00417108">
        <w:rPr>
          <w:lang w:val="el-GR"/>
        </w:rPr>
        <w:t xml:space="preserve"> που χρησιμοποιήθηκαν για τη σύνθεση των καταλυτών. Αριστερά: [</w:t>
      </w:r>
      <w:r w:rsidRPr="00417108">
        <w:t>Ni</w:t>
      </w:r>
      <w:r w:rsidRPr="00417108">
        <w:rPr>
          <w:lang w:val="el-GR"/>
        </w:rPr>
        <w:t>(</w:t>
      </w:r>
      <w:r w:rsidRPr="00417108">
        <w:t>H</w:t>
      </w:r>
      <w:r w:rsidRPr="00417108">
        <w:rPr>
          <w:vertAlign w:val="subscript"/>
          <w:lang w:val="el-GR"/>
        </w:rPr>
        <w:t>2</w:t>
      </w:r>
      <w:r w:rsidRPr="00417108">
        <w:t>O</w:t>
      </w:r>
      <w:r w:rsidRPr="00417108">
        <w:rPr>
          <w:lang w:val="el-GR"/>
        </w:rPr>
        <w:t>)</w:t>
      </w:r>
      <w:r w:rsidRPr="00417108">
        <w:rPr>
          <w:vertAlign w:val="subscript"/>
          <w:lang w:val="el-GR"/>
        </w:rPr>
        <w:t>6</w:t>
      </w:r>
      <w:r w:rsidRPr="00417108">
        <w:rPr>
          <w:lang w:val="el-GR"/>
        </w:rPr>
        <w:t>]</w:t>
      </w:r>
      <w:r w:rsidRPr="00417108">
        <w:rPr>
          <w:vertAlign w:val="superscript"/>
          <w:lang w:val="el-GR"/>
        </w:rPr>
        <w:t>2+</w:t>
      </w:r>
      <w:r w:rsidRPr="00417108">
        <w:rPr>
          <w:lang w:val="el-GR"/>
        </w:rPr>
        <w:t>. Δεξιά: [</w:t>
      </w:r>
      <w:r w:rsidRPr="00417108">
        <w:t>Ni</w:t>
      </w:r>
      <w:r w:rsidRPr="00417108">
        <w:rPr>
          <w:lang w:val="el-GR"/>
        </w:rPr>
        <w:t>(</w:t>
      </w:r>
      <w:r w:rsidRPr="00417108">
        <w:t>en</w:t>
      </w:r>
      <w:r w:rsidRPr="00417108">
        <w:rPr>
          <w:lang w:val="el-GR"/>
        </w:rPr>
        <w:t>)</w:t>
      </w:r>
      <w:r w:rsidRPr="00417108">
        <w:rPr>
          <w:vertAlign w:val="subscript"/>
          <w:lang w:val="el-GR"/>
        </w:rPr>
        <w:t>3</w:t>
      </w:r>
      <w:r w:rsidRPr="00417108">
        <w:rPr>
          <w:lang w:val="el-GR"/>
        </w:rPr>
        <w:t>]</w:t>
      </w:r>
      <w:r w:rsidRPr="00417108">
        <w:rPr>
          <w:vertAlign w:val="superscript"/>
          <w:lang w:val="el-GR"/>
        </w:rPr>
        <w:t>2+</w:t>
      </w:r>
      <w:r w:rsidRPr="00417108">
        <w:rPr>
          <w:lang w:val="el-GR"/>
        </w:rPr>
        <w:t xml:space="preserve">, όπου </w:t>
      </w:r>
      <w:r w:rsidRPr="00417108">
        <w:rPr>
          <w:lang w:val="en-US"/>
        </w:rPr>
        <w:t>en</w:t>
      </w:r>
      <w:r w:rsidRPr="00417108">
        <w:rPr>
          <w:lang w:val="el-GR"/>
        </w:rPr>
        <w:t xml:space="preserve">: </w:t>
      </w:r>
      <w:proofErr w:type="spellStart"/>
      <w:r w:rsidRPr="00417108">
        <w:rPr>
          <w:lang w:val="el-GR"/>
        </w:rPr>
        <w:t>αιθυλενοδιαμίνη</w:t>
      </w:r>
      <w:proofErr w:type="spellEnd"/>
      <w:r w:rsidR="007D6B57" w:rsidRPr="00417108">
        <w:rPr>
          <w:lang w:val="el-GR"/>
        </w:rPr>
        <w:t>.</w:t>
      </w:r>
    </w:p>
    <w:p w:rsidR="007A0F30" w:rsidRPr="00417108" w:rsidRDefault="007A0F30" w:rsidP="00EA051A">
      <w:pPr>
        <w:tabs>
          <w:tab w:val="num" w:pos="720"/>
        </w:tabs>
        <w:ind w:right="-58"/>
        <w:jc w:val="both"/>
        <w:rPr>
          <w:lang w:val="el-GR"/>
        </w:rPr>
      </w:pPr>
    </w:p>
    <w:p w:rsidR="005D7556" w:rsidRDefault="005D7556" w:rsidP="00EA051A">
      <w:pPr>
        <w:tabs>
          <w:tab w:val="num" w:pos="720"/>
        </w:tabs>
        <w:ind w:right="-58"/>
        <w:jc w:val="both"/>
        <w:rPr>
          <w:lang w:val="el-GR"/>
        </w:rPr>
      </w:pPr>
      <w:r w:rsidRPr="00417108">
        <w:rPr>
          <w:lang w:val="el-GR"/>
        </w:rPr>
        <w:tab/>
      </w:r>
      <w:r w:rsidR="008E4905" w:rsidRPr="00417108">
        <w:rPr>
          <w:lang w:val="el-GR"/>
        </w:rPr>
        <w:t>Στη συνέχεια και αφού ο</w:t>
      </w:r>
      <w:r w:rsidR="00794F40">
        <w:rPr>
          <w:lang w:val="el-GR"/>
        </w:rPr>
        <w:t>ι</w:t>
      </w:r>
      <w:r w:rsidR="008E4905" w:rsidRPr="00417108">
        <w:rPr>
          <w:lang w:val="el-GR"/>
        </w:rPr>
        <w:t xml:space="preserve"> </w:t>
      </w:r>
      <w:r w:rsidR="00794F40">
        <w:rPr>
          <w:lang w:val="el-GR"/>
        </w:rPr>
        <w:t>δύο καταλύτες, που παρασκευάστηκαν</w:t>
      </w:r>
      <w:r w:rsidR="008E4905" w:rsidRPr="00417108">
        <w:rPr>
          <w:lang w:val="el-GR"/>
        </w:rPr>
        <w:t xml:space="preserve"> με το </w:t>
      </w:r>
      <w:proofErr w:type="spellStart"/>
      <w:r w:rsidR="008E4905" w:rsidRPr="00417108">
        <w:rPr>
          <w:lang w:val="el-GR"/>
        </w:rPr>
        <w:t>σύμπλοκο</w:t>
      </w:r>
      <w:proofErr w:type="spellEnd"/>
      <w:r w:rsidR="008E4905" w:rsidRPr="00417108">
        <w:rPr>
          <w:lang w:val="el-GR"/>
        </w:rPr>
        <w:t xml:space="preserve"> [</w:t>
      </w:r>
      <w:r w:rsidR="008E4905" w:rsidRPr="00417108">
        <w:t>Ni</w:t>
      </w:r>
      <w:r w:rsidR="008E4905" w:rsidRPr="00417108">
        <w:rPr>
          <w:lang w:val="el-GR"/>
        </w:rPr>
        <w:t>(</w:t>
      </w:r>
      <w:r w:rsidR="008E4905" w:rsidRPr="00417108">
        <w:t>en</w:t>
      </w:r>
      <w:r w:rsidR="008E4905" w:rsidRPr="00417108">
        <w:rPr>
          <w:lang w:val="el-GR"/>
        </w:rPr>
        <w:t>)</w:t>
      </w:r>
      <w:r w:rsidR="008E4905" w:rsidRPr="00417108">
        <w:rPr>
          <w:vertAlign w:val="subscript"/>
          <w:lang w:val="el-GR"/>
        </w:rPr>
        <w:t>3</w:t>
      </w:r>
      <w:r w:rsidR="008E4905" w:rsidRPr="00417108">
        <w:rPr>
          <w:lang w:val="el-GR"/>
        </w:rPr>
        <w:t>]</w:t>
      </w:r>
      <w:r w:rsidR="008E4905" w:rsidRPr="00417108">
        <w:rPr>
          <w:vertAlign w:val="superscript"/>
          <w:lang w:val="el-GR"/>
        </w:rPr>
        <w:t>2+</w:t>
      </w:r>
      <w:r w:rsidR="00794F40">
        <w:rPr>
          <w:lang w:val="el-GR"/>
        </w:rPr>
        <w:t>, εμφάνισαν</w:t>
      </w:r>
      <w:r w:rsidR="008E4905" w:rsidRPr="00417108">
        <w:rPr>
          <w:lang w:val="el-GR"/>
        </w:rPr>
        <w:t xml:space="preserve"> μεγαλύτερη αποτελεσματικότητα</w:t>
      </w:r>
      <w:r w:rsidR="00794F40">
        <w:rPr>
          <w:lang w:val="el-GR"/>
        </w:rPr>
        <w:t xml:space="preserve"> από τους αντίστοιχους που παρασκευάστηκαν</w:t>
      </w:r>
      <w:r w:rsidR="00794F40" w:rsidRPr="00794F40">
        <w:rPr>
          <w:lang w:val="el-GR"/>
        </w:rPr>
        <w:t xml:space="preserve"> </w:t>
      </w:r>
      <w:r w:rsidR="00794F40">
        <w:rPr>
          <w:lang w:val="el-GR"/>
        </w:rPr>
        <w:t xml:space="preserve">με το </w:t>
      </w:r>
      <w:r w:rsidR="00794F40" w:rsidRPr="00417108">
        <w:rPr>
          <w:lang w:val="el-GR"/>
        </w:rPr>
        <w:t xml:space="preserve">υδατικό </w:t>
      </w:r>
      <w:proofErr w:type="spellStart"/>
      <w:r w:rsidR="00794F40" w:rsidRPr="00417108">
        <w:rPr>
          <w:lang w:val="el-GR"/>
        </w:rPr>
        <w:t>σύμπλοκο</w:t>
      </w:r>
      <w:proofErr w:type="spellEnd"/>
      <w:r w:rsidR="00794F40" w:rsidRPr="00417108">
        <w:rPr>
          <w:lang w:val="el-GR"/>
        </w:rPr>
        <w:t xml:space="preserve"> [</w:t>
      </w:r>
      <w:r w:rsidR="00794F40" w:rsidRPr="00417108">
        <w:t>Ni</w:t>
      </w:r>
      <w:r w:rsidR="00794F40" w:rsidRPr="00417108">
        <w:rPr>
          <w:lang w:val="el-GR"/>
        </w:rPr>
        <w:t>(</w:t>
      </w:r>
      <w:r w:rsidR="00794F40" w:rsidRPr="00417108">
        <w:t>H</w:t>
      </w:r>
      <w:r w:rsidR="00794F40" w:rsidRPr="00417108">
        <w:rPr>
          <w:vertAlign w:val="subscript"/>
          <w:lang w:val="el-GR"/>
        </w:rPr>
        <w:t>2</w:t>
      </w:r>
      <w:r w:rsidR="00794F40" w:rsidRPr="00417108">
        <w:t>O</w:t>
      </w:r>
      <w:r w:rsidR="00794F40" w:rsidRPr="00417108">
        <w:rPr>
          <w:lang w:val="el-GR"/>
        </w:rPr>
        <w:t>)</w:t>
      </w:r>
      <w:r w:rsidR="00794F40" w:rsidRPr="00417108">
        <w:rPr>
          <w:vertAlign w:val="subscript"/>
          <w:lang w:val="el-GR"/>
        </w:rPr>
        <w:t>6</w:t>
      </w:r>
      <w:r w:rsidR="00794F40" w:rsidRPr="00417108">
        <w:rPr>
          <w:lang w:val="el-GR"/>
        </w:rPr>
        <w:t>]</w:t>
      </w:r>
      <w:r w:rsidR="00794F40" w:rsidRPr="00417108">
        <w:rPr>
          <w:vertAlign w:val="superscript"/>
          <w:lang w:val="el-GR"/>
        </w:rPr>
        <w:t>2+</w:t>
      </w:r>
      <w:r w:rsidR="008E4905" w:rsidRPr="00417108">
        <w:rPr>
          <w:lang w:val="el-GR"/>
        </w:rPr>
        <w:t xml:space="preserve">, προχωρήσαμε </w:t>
      </w:r>
      <w:r w:rsidR="00F54564" w:rsidRPr="00417108">
        <w:rPr>
          <w:lang w:val="el-GR"/>
        </w:rPr>
        <w:t xml:space="preserve">στη σύνθεση άλλων </w:t>
      </w:r>
      <w:r w:rsidR="00ED6158">
        <w:rPr>
          <w:lang w:val="el-GR"/>
        </w:rPr>
        <w:t>4</w:t>
      </w:r>
      <w:r w:rsidR="00F54564" w:rsidRPr="00417108">
        <w:rPr>
          <w:lang w:val="el-GR"/>
        </w:rPr>
        <w:t xml:space="preserve"> καταλυτών ξεκινώντας με</w:t>
      </w:r>
      <w:r w:rsidR="008E4905" w:rsidRPr="00417108">
        <w:rPr>
          <w:lang w:val="el-GR"/>
        </w:rPr>
        <w:t xml:space="preserve"> το </w:t>
      </w:r>
      <w:r w:rsidR="00794F40">
        <w:rPr>
          <w:lang w:val="el-GR"/>
        </w:rPr>
        <w:t xml:space="preserve">πρώτο </w:t>
      </w:r>
      <w:proofErr w:type="spellStart"/>
      <w:r w:rsidR="00794F40">
        <w:rPr>
          <w:lang w:val="el-GR"/>
        </w:rPr>
        <w:t>σύμπλοκο</w:t>
      </w:r>
      <w:proofErr w:type="spellEnd"/>
      <w:r w:rsidR="00CA02FD" w:rsidRPr="00417108">
        <w:rPr>
          <w:lang w:val="el-GR"/>
        </w:rPr>
        <w:t xml:space="preserve">, αλλά </w:t>
      </w:r>
      <w:r w:rsidR="008E4905" w:rsidRPr="00417108">
        <w:rPr>
          <w:lang w:val="el-GR"/>
        </w:rPr>
        <w:t xml:space="preserve">με διαφορετικό ποσοστό </w:t>
      </w:r>
      <w:r w:rsidR="008E4905" w:rsidRPr="00417108">
        <w:rPr>
          <w:lang w:val="en-US"/>
        </w:rPr>
        <w:t>Ni</w:t>
      </w:r>
      <w:r w:rsidR="00CA02FD" w:rsidRPr="00417108">
        <w:rPr>
          <w:lang w:val="el-GR"/>
        </w:rPr>
        <w:t>, με σκοπό τη</w:t>
      </w:r>
      <w:r w:rsidR="00966F4F" w:rsidRPr="00417108">
        <w:rPr>
          <w:lang w:val="el-GR"/>
        </w:rPr>
        <w:t>ν</w:t>
      </w:r>
      <w:r w:rsidR="00CA02FD" w:rsidRPr="00417108">
        <w:rPr>
          <w:lang w:val="el-GR"/>
        </w:rPr>
        <w:t xml:space="preserve"> </w:t>
      </w:r>
      <w:r w:rsidR="00966F4F" w:rsidRPr="00417108">
        <w:rPr>
          <w:lang w:val="el-GR"/>
        </w:rPr>
        <w:t>εύρεση</w:t>
      </w:r>
      <w:r w:rsidR="00CA02FD" w:rsidRPr="00417108">
        <w:rPr>
          <w:lang w:val="el-GR"/>
        </w:rPr>
        <w:t xml:space="preserve"> του βέλτιστου ποσοστού.</w:t>
      </w:r>
      <w:r w:rsidR="008E4905" w:rsidRPr="00417108">
        <w:rPr>
          <w:lang w:val="el-GR"/>
        </w:rPr>
        <w:t xml:space="preserve"> </w:t>
      </w:r>
      <w:r w:rsidR="00ED6158">
        <w:rPr>
          <w:lang w:val="el-GR"/>
        </w:rPr>
        <w:t>Έτσι, ο</w:t>
      </w:r>
      <w:r w:rsidR="00CA02FD" w:rsidRPr="00417108">
        <w:rPr>
          <w:lang w:val="el-GR"/>
        </w:rPr>
        <w:t xml:space="preserve">ι καταλύτες </w:t>
      </w:r>
      <w:r w:rsidR="00ED6158">
        <w:rPr>
          <w:lang w:val="el-GR"/>
        </w:rPr>
        <w:t xml:space="preserve">αυτής της σειράς </w:t>
      </w:r>
      <w:r w:rsidR="00CA02FD" w:rsidRPr="00417108">
        <w:rPr>
          <w:lang w:val="el-GR"/>
        </w:rPr>
        <w:t>που παρασκευάστηκαν ήταν οι εξής</w:t>
      </w:r>
      <w:r w:rsidR="008E4905" w:rsidRPr="00417108">
        <w:rPr>
          <w:lang w:val="el-GR"/>
        </w:rPr>
        <w:t>:</w:t>
      </w:r>
      <w:r w:rsidR="00CA02FD" w:rsidRPr="00417108">
        <w:rPr>
          <w:lang w:val="el-GR"/>
        </w:rPr>
        <w:t xml:space="preserve"> </w:t>
      </w:r>
      <w:proofErr w:type="spellStart"/>
      <w:r w:rsidR="00794F40">
        <w:rPr>
          <w:lang w:val="en-US"/>
        </w:rPr>
        <w:t>x</w:t>
      </w:r>
      <w:r w:rsidR="00794F40" w:rsidRPr="00417108">
        <w:rPr>
          <w:lang w:val="en-US"/>
        </w:rPr>
        <w:t>Ni</w:t>
      </w:r>
      <w:proofErr w:type="spellEnd"/>
      <w:r w:rsidR="00794F40" w:rsidRPr="007C7113">
        <w:rPr>
          <w:lang w:val="el-GR"/>
        </w:rPr>
        <w:t>(</w:t>
      </w:r>
      <w:r w:rsidR="00794F40" w:rsidRPr="00417108">
        <w:rPr>
          <w:lang w:val="en-US"/>
        </w:rPr>
        <w:t>en</w:t>
      </w:r>
      <w:r w:rsidR="00794F40" w:rsidRPr="007C7113">
        <w:rPr>
          <w:lang w:val="el-GR"/>
        </w:rPr>
        <w:t>)</w:t>
      </w:r>
      <w:r w:rsidR="00794F40" w:rsidRPr="007C7113">
        <w:rPr>
          <w:vertAlign w:val="subscript"/>
          <w:lang w:val="el-GR"/>
        </w:rPr>
        <w:t>3</w:t>
      </w:r>
      <w:proofErr w:type="spellStart"/>
      <w:r w:rsidR="00794F40" w:rsidRPr="00417108">
        <w:rPr>
          <w:lang w:val="en-US"/>
        </w:rPr>
        <w:t>SiO</w:t>
      </w:r>
      <w:proofErr w:type="spellEnd"/>
      <w:r w:rsidR="00794F40" w:rsidRPr="007C7113">
        <w:rPr>
          <w:vertAlign w:val="subscript"/>
          <w:lang w:val="el-GR"/>
        </w:rPr>
        <w:t>2</w:t>
      </w:r>
      <w:r w:rsidR="00CA02FD" w:rsidRPr="00417108">
        <w:rPr>
          <w:lang w:val="el-GR"/>
        </w:rPr>
        <w:t xml:space="preserve">, όπου </w:t>
      </w:r>
      <w:r w:rsidR="00CA02FD" w:rsidRPr="00417108">
        <w:rPr>
          <w:lang w:val="en-US"/>
        </w:rPr>
        <w:t>x</w:t>
      </w:r>
      <w:r w:rsidR="00966F4F" w:rsidRPr="00417108">
        <w:rPr>
          <w:lang w:val="el-GR"/>
        </w:rPr>
        <w:t>: 10, 20, 30, 40, 50 και</w:t>
      </w:r>
      <w:r w:rsidR="00EF588A" w:rsidRPr="00417108">
        <w:rPr>
          <w:lang w:val="el-GR"/>
        </w:rPr>
        <w:t xml:space="preserve"> 60% </w:t>
      </w:r>
      <w:proofErr w:type="spellStart"/>
      <w:r w:rsidR="00EF588A" w:rsidRPr="00417108">
        <w:rPr>
          <w:lang w:val="el-GR"/>
        </w:rPr>
        <w:t>κ.β</w:t>
      </w:r>
      <w:proofErr w:type="spellEnd"/>
      <w:r w:rsidR="00EF588A" w:rsidRPr="00417108">
        <w:rPr>
          <w:lang w:val="el-GR"/>
        </w:rPr>
        <w:t xml:space="preserve">. </w:t>
      </w:r>
      <w:proofErr w:type="gramStart"/>
      <w:r w:rsidR="00EF588A" w:rsidRPr="00417108">
        <w:rPr>
          <w:lang w:val="en-US"/>
        </w:rPr>
        <w:t>Ni</w:t>
      </w:r>
      <w:r w:rsidR="00EF588A" w:rsidRPr="00417108">
        <w:rPr>
          <w:lang w:val="el-GR"/>
        </w:rPr>
        <w:t>.</w:t>
      </w:r>
      <w:proofErr w:type="gramEnd"/>
      <w:r w:rsidR="00F54564" w:rsidRPr="00417108">
        <w:rPr>
          <w:lang w:val="el-GR"/>
        </w:rPr>
        <w:t xml:space="preserve"> </w:t>
      </w:r>
      <w:r w:rsidR="007D6B57" w:rsidRPr="00417108">
        <w:rPr>
          <w:lang w:val="el-GR"/>
        </w:rPr>
        <w:t xml:space="preserve">Μετά το τέλος της διαδικασίας των εμποτισμών, τα δείγματα </w:t>
      </w:r>
      <w:proofErr w:type="spellStart"/>
      <w:r w:rsidR="007D6B57" w:rsidRPr="00417108">
        <w:rPr>
          <w:lang w:val="el-GR"/>
        </w:rPr>
        <w:t>ξηράνθηκαν</w:t>
      </w:r>
      <w:proofErr w:type="spellEnd"/>
      <w:r w:rsidR="007D6B57" w:rsidRPr="00417108">
        <w:rPr>
          <w:lang w:val="el-GR"/>
        </w:rPr>
        <w:t xml:space="preserve"> για 2 </w:t>
      </w:r>
      <w:r w:rsidR="007D6B57" w:rsidRPr="00417108">
        <w:rPr>
          <w:lang w:val="en-US"/>
        </w:rPr>
        <w:t>h</w:t>
      </w:r>
      <w:r w:rsidR="007D6B57" w:rsidRPr="00417108">
        <w:rPr>
          <w:lang w:val="el-GR"/>
        </w:rPr>
        <w:t xml:space="preserve"> στους 120 </w:t>
      </w:r>
      <w:proofErr w:type="spellStart"/>
      <w:r w:rsidR="007D6B57" w:rsidRPr="00417108">
        <w:rPr>
          <w:vertAlign w:val="superscript"/>
          <w:lang w:val="en-US"/>
        </w:rPr>
        <w:t>o</w:t>
      </w:r>
      <w:r w:rsidR="007D6B57" w:rsidRPr="00417108">
        <w:rPr>
          <w:lang w:val="en-US"/>
        </w:rPr>
        <w:t>C</w:t>
      </w:r>
      <w:proofErr w:type="spellEnd"/>
      <w:r w:rsidRPr="00417108">
        <w:rPr>
          <w:lang w:val="el-GR"/>
        </w:rPr>
        <w:t xml:space="preserve">, πυρώθηκαν για 2 </w:t>
      </w:r>
      <w:r w:rsidRPr="00417108">
        <w:rPr>
          <w:lang w:val="en-US"/>
        </w:rPr>
        <w:t>h</w:t>
      </w:r>
      <w:r w:rsidRPr="00417108">
        <w:rPr>
          <w:lang w:val="el-GR"/>
        </w:rPr>
        <w:t xml:space="preserve"> στους 400 </w:t>
      </w:r>
      <w:proofErr w:type="spellStart"/>
      <w:r w:rsidRPr="00417108">
        <w:rPr>
          <w:vertAlign w:val="superscript"/>
          <w:lang w:val="en-US"/>
        </w:rPr>
        <w:t>o</w:t>
      </w:r>
      <w:r w:rsidRPr="00417108">
        <w:rPr>
          <w:lang w:val="en-US"/>
        </w:rPr>
        <w:t>C</w:t>
      </w:r>
      <w:proofErr w:type="spellEnd"/>
      <w:r w:rsidRPr="00417108">
        <w:rPr>
          <w:lang w:val="el-GR"/>
        </w:rPr>
        <w:t xml:space="preserve"> και υπέστησαν αναγωγή υπό ροή υδρογόνου για 2,5 </w:t>
      </w:r>
      <w:r w:rsidRPr="00417108">
        <w:rPr>
          <w:lang w:val="en-US"/>
        </w:rPr>
        <w:t>h</w:t>
      </w:r>
      <w:r w:rsidRPr="00417108">
        <w:rPr>
          <w:lang w:val="el-GR"/>
        </w:rPr>
        <w:t xml:space="preserve"> στους 400 </w:t>
      </w:r>
      <w:proofErr w:type="spellStart"/>
      <w:r w:rsidRPr="00417108">
        <w:rPr>
          <w:vertAlign w:val="superscript"/>
          <w:lang w:val="en-US"/>
        </w:rPr>
        <w:t>o</w:t>
      </w:r>
      <w:r w:rsidRPr="00417108">
        <w:rPr>
          <w:lang w:val="en-US"/>
        </w:rPr>
        <w:t>C</w:t>
      </w:r>
      <w:proofErr w:type="spellEnd"/>
      <w:r w:rsidRPr="00417108">
        <w:rPr>
          <w:lang w:val="el-GR"/>
        </w:rPr>
        <w:t>.</w:t>
      </w:r>
    </w:p>
    <w:p w:rsidR="00794F40" w:rsidRPr="00A04041" w:rsidRDefault="00794F40" w:rsidP="00EA051A">
      <w:pPr>
        <w:tabs>
          <w:tab w:val="num" w:pos="720"/>
        </w:tabs>
        <w:ind w:right="-58"/>
        <w:jc w:val="both"/>
        <w:rPr>
          <w:lang w:val="el-GR"/>
        </w:rPr>
      </w:pPr>
    </w:p>
    <w:p w:rsidR="005D7556" w:rsidRPr="00417108" w:rsidRDefault="005D7556" w:rsidP="00EA051A">
      <w:pPr>
        <w:tabs>
          <w:tab w:val="num" w:pos="720"/>
        </w:tabs>
        <w:ind w:right="-58"/>
        <w:jc w:val="both"/>
        <w:rPr>
          <w:u w:val="single"/>
          <w:lang w:val="el-GR"/>
        </w:rPr>
      </w:pPr>
      <w:r w:rsidRPr="00417108">
        <w:rPr>
          <w:u w:val="single"/>
          <w:lang w:val="el-GR"/>
        </w:rPr>
        <w:t>Χαρακτηρισμός</w:t>
      </w:r>
    </w:p>
    <w:p w:rsidR="005D7556" w:rsidRDefault="00193710" w:rsidP="00EA051A">
      <w:pPr>
        <w:tabs>
          <w:tab w:val="num" w:pos="720"/>
        </w:tabs>
        <w:ind w:right="-58"/>
        <w:jc w:val="both"/>
        <w:rPr>
          <w:lang w:val="el-GR"/>
        </w:rPr>
      </w:pPr>
      <w:r>
        <w:rPr>
          <w:lang w:val="el-GR"/>
        </w:rPr>
        <w:tab/>
      </w:r>
      <w:r w:rsidR="009C68B6" w:rsidRPr="00417108">
        <w:rPr>
          <w:lang w:val="el-GR"/>
        </w:rPr>
        <w:t>Τα φυσικά</w:t>
      </w:r>
      <w:r w:rsidR="00F54564" w:rsidRPr="00417108">
        <w:rPr>
          <w:lang w:val="el-GR"/>
        </w:rPr>
        <w:t xml:space="preserve"> χαρακτηριστικά των καταλυτών μελετήθηκαν με την τεχνική ρόφησης - </w:t>
      </w:r>
      <w:proofErr w:type="spellStart"/>
      <w:r w:rsidR="00F54564" w:rsidRPr="00417108">
        <w:rPr>
          <w:lang w:val="el-GR"/>
        </w:rPr>
        <w:t>εκρόφησης</w:t>
      </w:r>
      <w:proofErr w:type="spellEnd"/>
      <w:r w:rsidR="00F54564" w:rsidRPr="00417108">
        <w:rPr>
          <w:lang w:val="el-GR"/>
        </w:rPr>
        <w:t xml:space="preserve"> αζώτου</w:t>
      </w:r>
      <w:r w:rsidR="009C68B6" w:rsidRPr="00417108">
        <w:rPr>
          <w:lang w:val="el-GR"/>
        </w:rPr>
        <w:t>, για τον προσδιορισμό του όγκου πόρων, της ειδικής επιφάνειας</w:t>
      </w:r>
      <w:r w:rsidR="00E53BC5" w:rsidRPr="00E53BC5">
        <w:rPr>
          <w:lang w:val="el-GR"/>
        </w:rPr>
        <w:t xml:space="preserve"> (</w:t>
      </w:r>
      <w:r w:rsidR="00E53BC5">
        <w:rPr>
          <w:lang w:val="en-US"/>
        </w:rPr>
        <w:t>SSA</w:t>
      </w:r>
      <w:r w:rsidR="00E53BC5" w:rsidRPr="00E53BC5">
        <w:rPr>
          <w:lang w:val="el-GR"/>
        </w:rPr>
        <w:t>)</w:t>
      </w:r>
      <w:r w:rsidR="009C68B6" w:rsidRPr="00417108">
        <w:rPr>
          <w:lang w:val="el-GR"/>
        </w:rPr>
        <w:t xml:space="preserve"> και της κατανομής μεγέθους των πόρων</w:t>
      </w:r>
      <w:r w:rsidR="00F54564" w:rsidRPr="00417108">
        <w:rPr>
          <w:lang w:val="el-GR"/>
        </w:rPr>
        <w:t>.</w:t>
      </w:r>
      <w:r w:rsidR="00EA051A" w:rsidRPr="00417108">
        <w:rPr>
          <w:lang w:val="el-GR"/>
        </w:rPr>
        <w:t xml:space="preserve"> </w:t>
      </w:r>
      <w:r w:rsidR="007D6B57" w:rsidRPr="00417108">
        <w:rPr>
          <w:lang w:val="el-GR"/>
        </w:rPr>
        <w:t>Ο φυσικοχημικός χαρακτηρισμός των καταλυτών θα ολοκληρωθεί και με τη</w:t>
      </w:r>
      <w:r w:rsidR="009C68B6" w:rsidRPr="00417108">
        <w:rPr>
          <w:lang w:val="el-GR"/>
        </w:rPr>
        <w:t xml:space="preserve"> μελέτη των χημικών χαρακτηριστικών των καταλυτών</w:t>
      </w:r>
      <w:r w:rsidR="007D6B57" w:rsidRPr="00417108">
        <w:rPr>
          <w:lang w:val="el-GR"/>
        </w:rPr>
        <w:t>,</w:t>
      </w:r>
      <w:r w:rsidR="009C68B6" w:rsidRPr="00417108">
        <w:rPr>
          <w:lang w:val="el-GR"/>
        </w:rPr>
        <w:t xml:space="preserve"> με </w:t>
      </w:r>
      <w:r w:rsidR="007D6B57" w:rsidRPr="00417108">
        <w:rPr>
          <w:lang w:val="el-GR"/>
        </w:rPr>
        <w:t xml:space="preserve">τη χρήση διάφορων τεχνικών, όπως </w:t>
      </w:r>
      <w:r w:rsidR="007D6B57" w:rsidRPr="00417108">
        <w:rPr>
          <w:lang w:val="en-US"/>
        </w:rPr>
        <w:t>XRD</w:t>
      </w:r>
      <w:r w:rsidR="007D6B57" w:rsidRPr="00417108">
        <w:rPr>
          <w:lang w:val="el-GR"/>
        </w:rPr>
        <w:t xml:space="preserve">, </w:t>
      </w:r>
      <w:r w:rsidR="007D6B57" w:rsidRPr="00417108">
        <w:rPr>
          <w:lang w:val="en-US"/>
        </w:rPr>
        <w:t>XPS</w:t>
      </w:r>
      <w:r w:rsidR="007D6B57" w:rsidRPr="00417108">
        <w:rPr>
          <w:lang w:val="el-GR"/>
        </w:rPr>
        <w:t xml:space="preserve">, </w:t>
      </w:r>
      <w:r w:rsidR="007D6B57" w:rsidRPr="00417108">
        <w:rPr>
          <w:lang w:val="en-US"/>
        </w:rPr>
        <w:t>SEM</w:t>
      </w:r>
      <w:r w:rsidR="007D6B57" w:rsidRPr="00417108">
        <w:rPr>
          <w:lang w:val="el-GR"/>
        </w:rPr>
        <w:t xml:space="preserve">, </w:t>
      </w:r>
      <w:r w:rsidR="007D6B57" w:rsidRPr="00417108">
        <w:rPr>
          <w:lang w:val="en-US"/>
        </w:rPr>
        <w:t>TEM</w:t>
      </w:r>
      <w:r w:rsidR="007D6B57" w:rsidRPr="00417108">
        <w:rPr>
          <w:lang w:val="el-GR"/>
        </w:rPr>
        <w:t xml:space="preserve">, </w:t>
      </w:r>
      <w:r w:rsidR="007D6B57" w:rsidRPr="00417108">
        <w:rPr>
          <w:lang w:val="en-US"/>
        </w:rPr>
        <w:t>TPR</w:t>
      </w:r>
      <w:r w:rsidR="005D7556" w:rsidRPr="00417108">
        <w:rPr>
          <w:lang w:val="el-GR"/>
        </w:rPr>
        <w:t>.</w:t>
      </w:r>
    </w:p>
    <w:p w:rsidR="00794F40" w:rsidRPr="00A04041" w:rsidRDefault="00794F40" w:rsidP="00EA051A">
      <w:pPr>
        <w:tabs>
          <w:tab w:val="num" w:pos="720"/>
        </w:tabs>
        <w:ind w:right="-58"/>
        <w:jc w:val="both"/>
        <w:rPr>
          <w:lang w:val="el-GR"/>
        </w:rPr>
      </w:pPr>
    </w:p>
    <w:p w:rsidR="005D7556" w:rsidRPr="00417108" w:rsidRDefault="005D7556" w:rsidP="00EA051A">
      <w:pPr>
        <w:tabs>
          <w:tab w:val="num" w:pos="720"/>
        </w:tabs>
        <w:ind w:right="-58"/>
        <w:jc w:val="both"/>
        <w:rPr>
          <w:u w:val="single"/>
          <w:lang w:val="el-GR"/>
        </w:rPr>
      </w:pPr>
      <w:r w:rsidRPr="00417108">
        <w:rPr>
          <w:u w:val="single"/>
          <w:lang w:val="el-GR"/>
        </w:rPr>
        <w:t>Αξιολόγηση</w:t>
      </w:r>
    </w:p>
    <w:p w:rsidR="00EA051A" w:rsidRPr="00417108" w:rsidRDefault="00193710" w:rsidP="00EA051A">
      <w:pPr>
        <w:tabs>
          <w:tab w:val="num" w:pos="720"/>
        </w:tabs>
        <w:ind w:right="-58"/>
        <w:jc w:val="both"/>
        <w:rPr>
          <w:lang w:val="el-GR"/>
        </w:rPr>
      </w:pPr>
      <w:r>
        <w:rPr>
          <w:lang w:val="el-GR"/>
        </w:rPr>
        <w:tab/>
      </w:r>
      <w:r w:rsidR="000F12FF" w:rsidRPr="00417108">
        <w:rPr>
          <w:lang w:val="el-GR"/>
        </w:rPr>
        <w:t>Οι καταλύτες αξιολογήθηκαν</w:t>
      </w:r>
      <w:r w:rsidR="00A52B75" w:rsidRPr="00417108">
        <w:rPr>
          <w:lang w:val="el-GR"/>
        </w:rPr>
        <w:t>,</w:t>
      </w:r>
      <w:r w:rsidR="000F12FF" w:rsidRPr="00417108">
        <w:rPr>
          <w:lang w:val="el-GR"/>
        </w:rPr>
        <w:t xml:space="preserve"> </w:t>
      </w:r>
      <w:r w:rsidR="00A52B75" w:rsidRPr="00417108">
        <w:rPr>
          <w:lang w:val="el-GR"/>
        </w:rPr>
        <w:t xml:space="preserve">στην </w:t>
      </w:r>
      <w:proofErr w:type="spellStart"/>
      <w:r w:rsidR="00A52B75" w:rsidRPr="00417108">
        <w:rPr>
          <w:lang w:val="el-GR"/>
        </w:rPr>
        <w:t>ανηγμένη</w:t>
      </w:r>
      <w:proofErr w:type="spellEnd"/>
      <w:r w:rsidR="00A52B75" w:rsidRPr="00417108">
        <w:rPr>
          <w:lang w:val="el-GR"/>
        </w:rPr>
        <w:t xml:space="preserve"> τους μορφή, </w:t>
      </w:r>
      <w:r w:rsidR="000F12FF" w:rsidRPr="00417108">
        <w:rPr>
          <w:lang w:val="el-GR"/>
        </w:rPr>
        <w:t xml:space="preserve">ως προς την απόδοση της αντίδρασης μετατροπής του ηλιέλαιου </w:t>
      </w:r>
      <w:r w:rsidR="00F54564" w:rsidRPr="00417108">
        <w:rPr>
          <w:lang w:val="el-GR"/>
        </w:rPr>
        <w:t xml:space="preserve">και του </w:t>
      </w:r>
      <w:proofErr w:type="spellStart"/>
      <w:r w:rsidR="00F54564" w:rsidRPr="00417108">
        <w:rPr>
          <w:lang w:val="el-GR"/>
        </w:rPr>
        <w:t>τηγανέλαιου</w:t>
      </w:r>
      <w:proofErr w:type="spellEnd"/>
      <w:r w:rsidR="00F54564" w:rsidRPr="00417108">
        <w:rPr>
          <w:lang w:val="el-GR"/>
        </w:rPr>
        <w:t xml:space="preserve"> </w:t>
      </w:r>
      <w:r w:rsidR="000F12FF" w:rsidRPr="00417108">
        <w:rPr>
          <w:lang w:val="el-GR"/>
        </w:rPr>
        <w:t xml:space="preserve">σε καύσιμους υδρογονάνθρακες, σε αντιδραστήρα </w:t>
      </w:r>
      <w:proofErr w:type="spellStart"/>
      <w:r w:rsidR="000F12FF" w:rsidRPr="00417108">
        <w:rPr>
          <w:lang w:val="el-GR"/>
        </w:rPr>
        <w:t>ημιδιαλείποντος</w:t>
      </w:r>
      <w:proofErr w:type="spellEnd"/>
      <w:r w:rsidR="000F12FF" w:rsidRPr="00417108">
        <w:rPr>
          <w:lang w:val="el-GR"/>
        </w:rPr>
        <w:t xml:space="preserve"> έργου</w:t>
      </w:r>
      <w:r w:rsidR="00F54564" w:rsidRPr="00417108">
        <w:rPr>
          <w:lang w:val="el-GR"/>
        </w:rPr>
        <w:t xml:space="preserve"> (πίεση: </w:t>
      </w:r>
      <w:r w:rsidR="00F54564" w:rsidRPr="00417108">
        <w:rPr>
          <w:rFonts w:eastAsia="MS PGothic"/>
          <w:color w:val="000000"/>
          <w:lang w:val="el-GR"/>
        </w:rPr>
        <w:t xml:space="preserve">40 </w:t>
      </w:r>
      <w:r w:rsidR="00F54564" w:rsidRPr="00417108">
        <w:rPr>
          <w:rFonts w:eastAsia="MS PGothic"/>
          <w:color w:val="000000"/>
        </w:rPr>
        <w:t>bar</w:t>
      </w:r>
      <w:r w:rsidR="00F54564" w:rsidRPr="00417108">
        <w:rPr>
          <w:rFonts w:eastAsia="MS PGothic"/>
          <w:color w:val="000000"/>
          <w:lang w:val="el-GR"/>
        </w:rPr>
        <w:t xml:space="preserve"> </w:t>
      </w:r>
      <w:r w:rsidR="00F54564" w:rsidRPr="00417108">
        <w:rPr>
          <w:rFonts w:eastAsia="MS PGothic"/>
          <w:color w:val="000000"/>
        </w:rPr>
        <w:t>H</w:t>
      </w:r>
      <w:r w:rsidR="00F54564" w:rsidRPr="00417108">
        <w:rPr>
          <w:rFonts w:eastAsia="MS PGothic"/>
          <w:color w:val="000000"/>
          <w:vertAlign w:val="subscript"/>
          <w:lang w:val="el-GR"/>
        </w:rPr>
        <w:t>2</w:t>
      </w:r>
      <w:r w:rsidR="00F54564" w:rsidRPr="00417108">
        <w:rPr>
          <w:rFonts w:eastAsia="MS PGothic"/>
          <w:color w:val="000000"/>
          <w:lang w:val="el-GR"/>
        </w:rPr>
        <w:t>, θερμοκρασία: 310</w:t>
      </w:r>
      <w:proofErr w:type="spellStart"/>
      <w:r w:rsidR="00F54564" w:rsidRPr="00417108">
        <w:rPr>
          <w:rFonts w:eastAsia="MS PGothic"/>
          <w:color w:val="000000"/>
          <w:vertAlign w:val="superscript"/>
        </w:rPr>
        <w:t>o</w:t>
      </w:r>
      <w:r w:rsidR="00F54564" w:rsidRPr="00417108">
        <w:rPr>
          <w:rFonts w:eastAsia="MS PGothic"/>
          <w:color w:val="000000"/>
        </w:rPr>
        <w:t>C</w:t>
      </w:r>
      <w:proofErr w:type="spellEnd"/>
      <w:r w:rsidR="00F54564" w:rsidRPr="00417108">
        <w:rPr>
          <w:rFonts w:eastAsia="MS PGothic"/>
          <w:color w:val="000000"/>
          <w:lang w:val="el-GR"/>
        </w:rPr>
        <w:t xml:space="preserve">, όγκος υγρού αντιδρώντος: 100 </w:t>
      </w:r>
      <w:r w:rsidR="00F54564" w:rsidRPr="00417108">
        <w:rPr>
          <w:rFonts w:eastAsia="MS PGothic"/>
          <w:color w:val="000000"/>
        </w:rPr>
        <w:t>ml</w:t>
      </w:r>
      <w:r w:rsidR="00F54564" w:rsidRPr="00417108">
        <w:rPr>
          <w:rFonts w:eastAsia="MS PGothic"/>
          <w:color w:val="000000"/>
          <w:lang w:val="el-GR"/>
        </w:rPr>
        <w:t xml:space="preserve"> λάδι, ροή </w:t>
      </w:r>
      <w:r w:rsidR="00F54564" w:rsidRPr="00417108">
        <w:rPr>
          <w:rFonts w:eastAsia="MS PGothic"/>
          <w:color w:val="000000"/>
        </w:rPr>
        <w:t>H</w:t>
      </w:r>
      <w:r w:rsidR="00F54564" w:rsidRPr="00417108">
        <w:rPr>
          <w:rFonts w:eastAsia="MS PGothic"/>
          <w:color w:val="000000"/>
          <w:vertAlign w:val="subscript"/>
          <w:lang w:val="el-GR"/>
        </w:rPr>
        <w:t>2</w:t>
      </w:r>
      <w:r w:rsidR="00F54564" w:rsidRPr="00417108">
        <w:rPr>
          <w:rFonts w:eastAsia="MS PGothic"/>
          <w:color w:val="000000"/>
          <w:lang w:val="el-GR"/>
        </w:rPr>
        <w:t xml:space="preserve">: 100 </w:t>
      </w:r>
      <w:r w:rsidR="00F54564" w:rsidRPr="00417108">
        <w:rPr>
          <w:rFonts w:eastAsia="MS PGothic"/>
          <w:color w:val="000000"/>
        </w:rPr>
        <w:t>ml</w:t>
      </w:r>
      <w:r w:rsidR="00F54564" w:rsidRPr="00417108">
        <w:rPr>
          <w:rFonts w:eastAsia="MS PGothic"/>
          <w:color w:val="000000"/>
          <w:lang w:val="el-GR"/>
        </w:rPr>
        <w:t>/</w:t>
      </w:r>
      <w:r w:rsidR="00F54564" w:rsidRPr="00417108">
        <w:rPr>
          <w:rFonts w:eastAsia="MS PGothic"/>
          <w:color w:val="000000"/>
        </w:rPr>
        <w:t>min</w:t>
      </w:r>
      <w:r w:rsidR="00F54564" w:rsidRPr="00417108">
        <w:rPr>
          <w:rFonts w:eastAsia="MS PGothic"/>
          <w:color w:val="000000"/>
          <w:lang w:val="el-GR"/>
        </w:rPr>
        <w:t>, χρόνος αντίδρασης: 10</w:t>
      </w:r>
      <w:r w:rsidR="00F54564" w:rsidRPr="00417108">
        <w:rPr>
          <w:rFonts w:eastAsia="MS PGothic"/>
          <w:color w:val="000000"/>
        </w:rPr>
        <w:t>h</w:t>
      </w:r>
      <w:r w:rsidR="00F54564" w:rsidRPr="00417108">
        <w:rPr>
          <w:rFonts w:eastAsia="MS PGothic"/>
          <w:color w:val="000000"/>
          <w:lang w:val="el-GR"/>
        </w:rPr>
        <w:t xml:space="preserve">, μάζα καταλύτη: 1 </w:t>
      </w:r>
      <w:r w:rsidR="00F54564" w:rsidRPr="00417108">
        <w:rPr>
          <w:rFonts w:eastAsia="MS PGothic"/>
          <w:color w:val="000000"/>
        </w:rPr>
        <w:t>g</w:t>
      </w:r>
      <w:r w:rsidR="00F54564" w:rsidRPr="00417108">
        <w:rPr>
          <w:lang w:val="el-GR"/>
        </w:rPr>
        <w:t>)</w:t>
      </w:r>
      <w:r w:rsidR="000F12FF" w:rsidRPr="00417108">
        <w:rPr>
          <w:lang w:val="el-GR"/>
        </w:rPr>
        <w:t xml:space="preserve">. Η ανάλυση των προϊόντων της αντίδρασης έγινε σε αέριο χρωματογράφο - φασματογράφο </w:t>
      </w:r>
      <w:r w:rsidR="000F12FF" w:rsidRPr="00417108">
        <w:rPr>
          <w:lang w:val="el-GR"/>
        </w:rPr>
        <w:lastRenderedPageBreak/>
        <w:t>μάζας (</w:t>
      </w:r>
      <w:r w:rsidR="000F12FF" w:rsidRPr="00417108">
        <w:t>GC</w:t>
      </w:r>
      <w:r w:rsidR="000F12FF" w:rsidRPr="00417108">
        <w:rPr>
          <w:lang w:val="el-GR"/>
        </w:rPr>
        <w:t>-</w:t>
      </w:r>
      <w:r w:rsidR="000F12FF" w:rsidRPr="00417108">
        <w:t>MS</w:t>
      </w:r>
      <w:r w:rsidR="000F12FF" w:rsidRPr="00417108">
        <w:rPr>
          <w:lang w:val="el-GR"/>
        </w:rPr>
        <w:t>)</w:t>
      </w:r>
      <w:r w:rsidR="00EA051A" w:rsidRPr="00417108">
        <w:rPr>
          <w:lang w:val="el-GR"/>
        </w:rPr>
        <w:t>.</w:t>
      </w:r>
      <w:r w:rsidR="00F34A42">
        <w:rPr>
          <w:lang w:val="el-GR"/>
        </w:rPr>
        <w:t xml:space="preserve"> Θα πρέπει να σημειώσουμε ότι όπου αναφέρεται η λέξη "απόδοση" στο παρακάτω κείμενο και στα σχήματα, εννοείται η απόδοση στο υγρό προϊόν της διεργασίας.</w:t>
      </w:r>
    </w:p>
    <w:p w:rsidR="0042022C" w:rsidRPr="00417108" w:rsidRDefault="0042022C" w:rsidP="00EA051A">
      <w:pPr>
        <w:tabs>
          <w:tab w:val="num" w:pos="720"/>
        </w:tabs>
        <w:ind w:right="-58"/>
        <w:jc w:val="both"/>
        <w:rPr>
          <w:lang w:val="el-GR"/>
        </w:rPr>
      </w:pPr>
    </w:p>
    <w:p w:rsidR="0042022C" w:rsidRDefault="0042022C" w:rsidP="00EA051A">
      <w:pPr>
        <w:tabs>
          <w:tab w:val="num" w:pos="720"/>
        </w:tabs>
        <w:ind w:right="-58"/>
        <w:jc w:val="both"/>
        <w:rPr>
          <w:b/>
          <w:lang w:val="el-GR"/>
        </w:rPr>
      </w:pPr>
      <w:r w:rsidRPr="00417108">
        <w:rPr>
          <w:b/>
          <w:lang w:val="el-GR"/>
        </w:rPr>
        <w:t>Αποτελέσματα - Συζήτηση</w:t>
      </w:r>
    </w:p>
    <w:p w:rsidR="00794F40" w:rsidRPr="00417108" w:rsidRDefault="00794F40" w:rsidP="00EA051A">
      <w:pPr>
        <w:tabs>
          <w:tab w:val="num" w:pos="720"/>
        </w:tabs>
        <w:ind w:right="-58"/>
        <w:jc w:val="both"/>
        <w:rPr>
          <w:b/>
          <w:lang w:val="el-GR"/>
        </w:rPr>
      </w:pPr>
    </w:p>
    <w:p w:rsidR="005D7556" w:rsidRPr="00C72CA2" w:rsidRDefault="00193710" w:rsidP="00EA051A">
      <w:pPr>
        <w:tabs>
          <w:tab w:val="num" w:pos="720"/>
        </w:tabs>
        <w:ind w:right="-58"/>
        <w:jc w:val="both"/>
        <w:rPr>
          <w:lang w:val="el-GR"/>
        </w:rPr>
      </w:pPr>
      <w:r>
        <w:rPr>
          <w:lang w:val="el-GR"/>
        </w:rPr>
        <w:tab/>
      </w:r>
      <w:r w:rsidR="005D7556" w:rsidRPr="00417108">
        <w:rPr>
          <w:lang w:val="el-GR"/>
        </w:rPr>
        <w:t>Στον πίνακα 1 παρουσιάζονται οι καταλύτες που παρασκευάστηκαν, καθώς και οι τιμές των φυσικ</w:t>
      </w:r>
      <w:r w:rsidR="00C72CA2">
        <w:rPr>
          <w:lang w:val="el-GR"/>
        </w:rPr>
        <w:t>ών τους χαρακτηριστικών</w:t>
      </w:r>
      <w:r w:rsidRPr="00193710">
        <w:rPr>
          <w:lang w:val="el-GR"/>
        </w:rPr>
        <w:t>.</w:t>
      </w:r>
      <w:r w:rsidR="00C72CA2">
        <w:rPr>
          <w:lang w:val="el-GR"/>
        </w:rPr>
        <w:t xml:space="preserve"> </w:t>
      </w:r>
      <w:r>
        <w:rPr>
          <w:lang w:val="el-GR"/>
        </w:rPr>
        <w:t>Για λόγους σύγκρισης</w:t>
      </w:r>
      <w:r w:rsidRPr="00193710">
        <w:rPr>
          <w:lang w:val="el-GR"/>
        </w:rPr>
        <w:t>,</w:t>
      </w:r>
      <w:r>
        <w:rPr>
          <w:lang w:val="el-GR"/>
        </w:rPr>
        <w:t xml:space="preserve"> δίνονται επίσης τα χαρακτηριστικά τόσο του υποστρώματος (</w:t>
      </w:r>
      <w:proofErr w:type="spellStart"/>
      <w:r w:rsidRPr="00417108">
        <w:rPr>
          <w:lang w:val="en-US"/>
        </w:rPr>
        <w:t>SiO</w:t>
      </w:r>
      <w:proofErr w:type="spellEnd"/>
      <w:r w:rsidRPr="00193710">
        <w:rPr>
          <w:vertAlign w:val="subscript"/>
          <w:lang w:val="el-GR"/>
        </w:rPr>
        <w:t>2</w:t>
      </w:r>
      <w:r>
        <w:rPr>
          <w:lang w:val="el-GR"/>
        </w:rPr>
        <w:t>) όσο και της καταλυτικής φάσης (</w:t>
      </w:r>
      <w:r>
        <w:rPr>
          <w:lang w:val="en-US"/>
        </w:rPr>
        <w:t>Ni</w:t>
      </w:r>
      <w:r>
        <w:rPr>
          <w:lang w:val="el-GR"/>
        </w:rPr>
        <w:t>). Σ</w:t>
      </w:r>
      <w:r w:rsidR="00C72CA2">
        <w:rPr>
          <w:lang w:val="el-GR"/>
        </w:rPr>
        <w:t xml:space="preserve">το σχήμα </w:t>
      </w:r>
      <w:r w:rsidR="00BD710D">
        <w:rPr>
          <w:lang w:val="el-GR"/>
        </w:rPr>
        <w:t>2</w:t>
      </w:r>
      <w:r w:rsidR="00C72CA2">
        <w:rPr>
          <w:lang w:val="el-GR"/>
        </w:rPr>
        <w:t xml:space="preserve"> δίνεται η κατανομή μεγέθους πόρων των καταλυτών.</w:t>
      </w:r>
    </w:p>
    <w:p w:rsidR="00794F40" w:rsidRPr="00417108" w:rsidRDefault="00794F40" w:rsidP="00EA051A">
      <w:pPr>
        <w:tabs>
          <w:tab w:val="num" w:pos="720"/>
        </w:tabs>
        <w:ind w:right="-58"/>
        <w:jc w:val="both"/>
        <w:rPr>
          <w:lang w:val="el-GR"/>
        </w:rPr>
      </w:pPr>
    </w:p>
    <w:p w:rsidR="00417108" w:rsidRPr="00417108" w:rsidRDefault="00417108" w:rsidP="00EA051A">
      <w:pPr>
        <w:tabs>
          <w:tab w:val="num" w:pos="720"/>
        </w:tabs>
        <w:ind w:right="-58"/>
        <w:jc w:val="both"/>
        <w:rPr>
          <w:lang w:val="el-GR"/>
        </w:rPr>
      </w:pPr>
      <w:r w:rsidRPr="00C72CA2">
        <w:rPr>
          <w:b/>
          <w:lang w:val="el-GR"/>
        </w:rPr>
        <w:t>Πίνακας 1</w:t>
      </w:r>
      <w:r w:rsidRPr="00417108">
        <w:rPr>
          <w:lang w:val="el-GR"/>
        </w:rPr>
        <w:t>. Οι καταλύτες που παρασκευάστηκαν και οι τιμές των φυσικών τους χαρακτηριστικών.</w:t>
      </w:r>
    </w:p>
    <w:tbl>
      <w:tblPr>
        <w:tblStyle w:val="a8"/>
        <w:tblW w:w="0" w:type="auto"/>
        <w:jc w:val="center"/>
        <w:tblInd w:w="-837" w:type="dxa"/>
        <w:tblLook w:val="04A0"/>
      </w:tblPr>
      <w:tblGrid>
        <w:gridCol w:w="1816"/>
        <w:gridCol w:w="1637"/>
        <w:gridCol w:w="2694"/>
        <w:gridCol w:w="2980"/>
      </w:tblGrid>
      <w:tr w:rsidR="00417108" w:rsidRPr="00417108" w:rsidTr="00E53BC5">
        <w:trPr>
          <w:jc w:val="center"/>
        </w:trPr>
        <w:tc>
          <w:tcPr>
            <w:tcW w:w="1816" w:type="dxa"/>
            <w:vAlign w:val="center"/>
          </w:tcPr>
          <w:p w:rsidR="00417108" w:rsidRPr="00417108" w:rsidRDefault="00417108" w:rsidP="001A4F17">
            <w:pPr>
              <w:pStyle w:val="Default"/>
              <w:jc w:val="center"/>
              <w:rPr>
                <w:rFonts w:ascii="Times New Roman" w:hAnsi="Times New Roman" w:cs="Times New Roman"/>
                <w:b/>
              </w:rPr>
            </w:pPr>
            <w:r>
              <w:rPr>
                <w:rFonts w:ascii="Times New Roman" w:hAnsi="Times New Roman" w:cs="Times New Roman"/>
                <w:b/>
              </w:rPr>
              <w:t>Καταλύτης</w:t>
            </w:r>
          </w:p>
        </w:tc>
        <w:tc>
          <w:tcPr>
            <w:tcW w:w="1637" w:type="dxa"/>
            <w:vAlign w:val="center"/>
          </w:tcPr>
          <w:p w:rsidR="00E53BC5" w:rsidRDefault="00E53BC5" w:rsidP="001A4F17">
            <w:pPr>
              <w:pStyle w:val="Default"/>
              <w:jc w:val="center"/>
              <w:rPr>
                <w:rFonts w:ascii="Times New Roman" w:hAnsi="Times New Roman" w:cs="Times New Roman"/>
                <w:b/>
                <w:bCs/>
                <w:lang w:val="en-US"/>
              </w:rPr>
            </w:pPr>
            <w:r>
              <w:rPr>
                <w:rFonts w:ascii="Times New Roman" w:hAnsi="Times New Roman" w:cs="Times New Roman"/>
                <w:b/>
                <w:bCs/>
              </w:rPr>
              <w:t>SSA</w:t>
            </w:r>
          </w:p>
          <w:p w:rsidR="00417108" w:rsidRPr="00417108" w:rsidRDefault="00417108" w:rsidP="001A4F17">
            <w:pPr>
              <w:pStyle w:val="Default"/>
              <w:jc w:val="center"/>
              <w:rPr>
                <w:rFonts w:ascii="Times New Roman" w:hAnsi="Times New Roman" w:cs="Times New Roman"/>
              </w:rPr>
            </w:pPr>
            <w:r w:rsidRPr="00417108">
              <w:rPr>
                <w:rFonts w:ascii="Times New Roman" w:hAnsi="Times New Roman" w:cs="Times New Roman"/>
                <w:b/>
                <w:bCs/>
              </w:rPr>
              <w:t>(m</w:t>
            </w:r>
            <w:r w:rsidRPr="00417108">
              <w:rPr>
                <w:rFonts w:ascii="Times New Roman" w:hAnsi="Times New Roman" w:cs="Times New Roman"/>
                <w:b/>
                <w:bCs/>
                <w:vertAlign w:val="superscript"/>
              </w:rPr>
              <w:t>2</w:t>
            </w:r>
            <w:r w:rsidRPr="00417108">
              <w:rPr>
                <w:rFonts w:ascii="Times New Roman" w:hAnsi="Times New Roman" w:cs="Times New Roman"/>
                <w:b/>
                <w:bCs/>
              </w:rPr>
              <w:t>/g)</w:t>
            </w:r>
          </w:p>
        </w:tc>
        <w:tc>
          <w:tcPr>
            <w:tcW w:w="2694" w:type="dxa"/>
            <w:vAlign w:val="center"/>
          </w:tcPr>
          <w:p w:rsidR="00417108" w:rsidRPr="00417108" w:rsidRDefault="00417108" w:rsidP="001A4F17">
            <w:pPr>
              <w:pStyle w:val="Default"/>
              <w:jc w:val="center"/>
              <w:rPr>
                <w:rFonts w:ascii="Times New Roman" w:hAnsi="Times New Roman" w:cs="Times New Roman"/>
              </w:rPr>
            </w:pPr>
            <w:r w:rsidRPr="00417108">
              <w:rPr>
                <w:rFonts w:ascii="Times New Roman" w:hAnsi="Times New Roman" w:cs="Times New Roman"/>
                <w:b/>
                <w:bCs/>
              </w:rPr>
              <w:t>Ειδικός Όγκος Πόρων (cm</w:t>
            </w:r>
            <w:r w:rsidRPr="00417108">
              <w:rPr>
                <w:rFonts w:ascii="Times New Roman" w:hAnsi="Times New Roman" w:cs="Times New Roman"/>
                <w:b/>
                <w:bCs/>
                <w:vertAlign w:val="superscript"/>
              </w:rPr>
              <w:t>3</w:t>
            </w:r>
            <w:r w:rsidRPr="00417108">
              <w:rPr>
                <w:rFonts w:ascii="Times New Roman" w:hAnsi="Times New Roman" w:cs="Times New Roman"/>
                <w:b/>
                <w:bCs/>
              </w:rPr>
              <w:t>/g)</w:t>
            </w:r>
          </w:p>
        </w:tc>
        <w:tc>
          <w:tcPr>
            <w:tcW w:w="2980" w:type="dxa"/>
            <w:vAlign w:val="center"/>
          </w:tcPr>
          <w:p w:rsidR="00417108" w:rsidRPr="00417108" w:rsidRDefault="00417108" w:rsidP="001A4F17">
            <w:pPr>
              <w:pStyle w:val="Default"/>
              <w:jc w:val="center"/>
              <w:rPr>
                <w:rFonts w:ascii="Times New Roman" w:hAnsi="Times New Roman" w:cs="Times New Roman"/>
              </w:rPr>
            </w:pPr>
            <w:r w:rsidRPr="00417108">
              <w:rPr>
                <w:rFonts w:ascii="Times New Roman" w:hAnsi="Times New Roman" w:cs="Times New Roman"/>
                <w:b/>
                <w:bCs/>
              </w:rPr>
              <w:t>Μέση Διάμετρος Πόρων (</w:t>
            </w:r>
            <w:proofErr w:type="spellStart"/>
            <w:r w:rsidRPr="00417108">
              <w:rPr>
                <w:rFonts w:ascii="Times New Roman" w:hAnsi="Times New Roman" w:cs="Times New Roman"/>
                <w:b/>
                <w:bCs/>
              </w:rPr>
              <w:t>nm</w:t>
            </w:r>
            <w:proofErr w:type="spellEnd"/>
            <w:r w:rsidRPr="00417108">
              <w:rPr>
                <w:rFonts w:ascii="Times New Roman" w:hAnsi="Times New Roman" w:cs="Times New Roman"/>
                <w:b/>
                <w:bCs/>
              </w:rPr>
              <w:t>)</w:t>
            </w:r>
          </w:p>
        </w:tc>
      </w:tr>
      <w:tr w:rsidR="00417108" w:rsidRPr="00417108" w:rsidTr="00E53BC5">
        <w:trPr>
          <w:jc w:val="center"/>
        </w:trPr>
        <w:tc>
          <w:tcPr>
            <w:tcW w:w="1816" w:type="dxa"/>
          </w:tcPr>
          <w:p w:rsidR="00417108" w:rsidRPr="00417108" w:rsidRDefault="00417108" w:rsidP="001A4F17">
            <w:pPr>
              <w:jc w:val="center"/>
              <w:rPr>
                <w:rFonts w:ascii="Times New Roman" w:hAnsi="Times New Roman" w:cs="Times New Roman"/>
                <w:sz w:val="24"/>
                <w:szCs w:val="24"/>
                <w:vertAlign w:val="subscript"/>
                <w:lang w:val="en-US"/>
              </w:rPr>
            </w:pP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192</w:t>
            </w:r>
          </w:p>
        </w:tc>
        <w:tc>
          <w:tcPr>
            <w:tcW w:w="2694" w:type="dxa"/>
          </w:tcPr>
          <w:p w:rsidR="00417108" w:rsidRPr="00417108" w:rsidRDefault="00417108" w:rsidP="000A44C3">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w:t>
            </w:r>
            <w:r w:rsidR="000A44C3">
              <w:rPr>
                <w:rFonts w:ascii="Times New Roman" w:hAnsi="Times New Roman" w:cs="Times New Roman"/>
                <w:sz w:val="24"/>
                <w:szCs w:val="24"/>
                <w:lang w:val="en-US"/>
              </w:rPr>
              <w:t>9</w:t>
            </w:r>
            <w:r w:rsidRPr="00417108">
              <w:rPr>
                <w:rFonts w:ascii="Times New Roman" w:hAnsi="Times New Roman" w:cs="Times New Roman"/>
                <w:sz w:val="24"/>
                <w:szCs w:val="24"/>
                <w:lang w:val="en-US"/>
              </w:rPr>
              <w:t>7</w:t>
            </w:r>
          </w:p>
        </w:tc>
        <w:tc>
          <w:tcPr>
            <w:tcW w:w="2980" w:type="dxa"/>
          </w:tcPr>
          <w:p w:rsidR="00417108" w:rsidRPr="00417108" w:rsidRDefault="000A44C3" w:rsidP="001A4F1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417108" w:rsidRPr="00417108">
              <w:rPr>
                <w:rFonts w:ascii="Times New Roman" w:hAnsi="Times New Roman" w:cs="Times New Roman"/>
                <w:sz w:val="24"/>
                <w:szCs w:val="24"/>
                <w:lang w:val="en-US"/>
              </w:rPr>
              <w:t>1.6</w:t>
            </w:r>
          </w:p>
        </w:tc>
      </w:tr>
      <w:tr w:rsidR="00417108" w:rsidRPr="00417108" w:rsidTr="00E53BC5">
        <w:trPr>
          <w:jc w:val="center"/>
        </w:trPr>
        <w:tc>
          <w:tcPr>
            <w:tcW w:w="1816" w:type="dxa"/>
          </w:tcPr>
          <w:p w:rsidR="00417108" w:rsidRPr="00417108" w:rsidRDefault="00417108" w:rsidP="00417108">
            <w:pPr>
              <w:jc w:val="center"/>
              <w:rPr>
                <w:rFonts w:ascii="Times New Roman" w:hAnsi="Times New Roman" w:cs="Times New Roman"/>
                <w:sz w:val="24"/>
                <w:szCs w:val="24"/>
                <w:vertAlign w:val="subscript"/>
                <w:lang w:val="en-US"/>
              </w:rPr>
            </w:pPr>
            <w:r w:rsidRPr="00417108">
              <w:rPr>
                <w:rFonts w:ascii="Times New Roman" w:hAnsi="Times New Roman" w:cs="Times New Roman"/>
                <w:sz w:val="24"/>
                <w:szCs w:val="24"/>
                <w:lang w:val="en-US"/>
              </w:rPr>
              <w:t>10Ni(en)</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172</w:t>
            </w:r>
          </w:p>
        </w:tc>
        <w:tc>
          <w:tcPr>
            <w:tcW w:w="2694"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0.93</w:t>
            </w:r>
          </w:p>
        </w:tc>
        <w:tc>
          <w:tcPr>
            <w:tcW w:w="2980"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21.2</w:t>
            </w:r>
          </w:p>
        </w:tc>
      </w:tr>
      <w:tr w:rsidR="00417108" w:rsidRPr="00417108" w:rsidTr="00E53BC5">
        <w:trPr>
          <w:jc w:val="center"/>
        </w:trPr>
        <w:tc>
          <w:tcPr>
            <w:tcW w:w="1816" w:type="dxa"/>
          </w:tcPr>
          <w:p w:rsidR="00417108" w:rsidRPr="00417108" w:rsidRDefault="00417108" w:rsidP="001A4F17">
            <w:pPr>
              <w:jc w:val="center"/>
              <w:rPr>
                <w:rFonts w:ascii="Times New Roman" w:hAnsi="Times New Roman" w:cs="Times New Roman"/>
                <w:sz w:val="24"/>
                <w:szCs w:val="24"/>
              </w:rPr>
            </w:pPr>
            <w:r w:rsidRPr="00417108">
              <w:rPr>
                <w:rFonts w:ascii="Times New Roman" w:hAnsi="Times New Roman" w:cs="Times New Roman"/>
                <w:sz w:val="24"/>
                <w:szCs w:val="24"/>
                <w:lang w:val="en-US"/>
              </w:rPr>
              <w:t>20Ni(en)</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162</w:t>
            </w:r>
          </w:p>
        </w:tc>
        <w:tc>
          <w:tcPr>
            <w:tcW w:w="2694"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0.95</w:t>
            </w:r>
          </w:p>
        </w:tc>
        <w:tc>
          <w:tcPr>
            <w:tcW w:w="2980"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21.8</w:t>
            </w:r>
          </w:p>
        </w:tc>
      </w:tr>
      <w:tr w:rsidR="00417108" w:rsidRPr="00417108" w:rsidTr="00E53BC5">
        <w:trPr>
          <w:jc w:val="center"/>
        </w:trPr>
        <w:tc>
          <w:tcPr>
            <w:tcW w:w="1816" w:type="dxa"/>
          </w:tcPr>
          <w:p w:rsidR="00417108" w:rsidRPr="00417108" w:rsidRDefault="00417108" w:rsidP="001A4F17">
            <w:pPr>
              <w:jc w:val="center"/>
              <w:rPr>
                <w:rFonts w:ascii="Times New Roman" w:hAnsi="Times New Roman" w:cs="Times New Roman"/>
                <w:sz w:val="24"/>
                <w:szCs w:val="24"/>
              </w:rPr>
            </w:pPr>
            <w:r w:rsidRPr="00417108">
              <w:rPr>
                <w:rFonts w:ascii="Times New Roman" w:hAnsi="Times New Roman" w:cs="Times New Roman"/>
                <w:sz w:val="24"/>
                <w:szCs w:val="24"/>
                <w:lang w:val="en-US"/>
              </w:rPr>
              <w:t>30Ni(en)</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154</w:t>
            </w:r>
          </w:p>
        </w:tc>
        <w:tc>
          <w:tcPr>
            <w:tcW w:w="2694"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0.77</w:t>
            </w:r>
          </w:p>
        </w:tc>
        <w:tc>
          <w:tcPr>
            <w:tcW w:w="2980"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17.8</w:t>
            </w:r>
          </w:p>
        </w:tc>
      </w:tr>
      <w:tr w:rsidR="00417108" w:rsidRPr="00417108" w:rsidTr="00E53BC5">
        <w:trPr>
          <w:jc w:val="center"/>
        </w:trPr>
        <w:tc>
          <w:tcPr>
            <w:tcW w:w="1816" w:type="dxa"/>
          </w:tcPr>
          <w:p w:rsidR="00417108" w:rsidRPr="00417108" w:rsidRDefault="00417108" w:rsidP="001A4F17">
            <w:pPr>
              <w:jc w:val="center"/>
              <w:rPr>
                <w:rFonts w:ascii="Times New Roman" w:hAnsi="Times New Roman" w:cs="Times New Roman"/>
                <w:sz w:val="24"/>
                <w:szCs w:val="24"/>
              </w:rPr>
            </w:pPr>
            <w:r w:rsidRPr="00417108">
              <w:rPr>
                <w:rFonts w:ascii="Times New Roman" w:hAnsi="Times New Roman" w:cs="Times New Roman"/>
                <w:sz w:val="24"/>
                <w:szCs w:val="24"/>
                <w:lang w:val="en-US"/>
              </w:rPr>
              <w:t>40Ni(en)</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139</w:t>
            </w:r>
          </w:p>
        </w:tc>
        <w:tc>
          <w:tcPr>
            <w:tcW w:w="2694"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0.61</w:t>
            </w:r>
          </w:p>
        </w:tc>
        <w:tc>
          <w:tcPr>
            <w:tcW w:w="2980"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16.8</w:t>
            </w:r>
          </w:p>
        </w:tc>
      </w:tr>
      <w:tr w:rsidR="00417108" w:rsidRPr="00417108" w:rsidTr="00E53BC5">
        <w:trPr>
          <w:jc w:val="center"/>
        </w:trPr>
        <w:tc>
          <w:tcPr>
            <w:tcW w:w="1816" w:type="dxa"/>
          </w:tcPr>
          <w:p w:rsidR="00417108" w:rsidRPr="00417108" w:rsidRDefault="00417108" w:rsidP="001A4F17">
            <w:pPr>
              <w:jc w:val="center"/>
              <w:rPr>
                <w:rFonts w:ascii="Times New Roman" w:hAnsi="Times New Roman" w:cs="Times New Roman"/>
                <w:sz w:val="24"/>
                <w:szCs w:val="24"/>
              </w:rPr>
            </w:pPr>
            <w:r w:rsidRPr="00417108">
              <w:rPr>
                <w:rFonts w:ascii="Times New Roman" w:hAnsi="Times New Roman" w:cs="Times New Roman"/>
                <w:sz w:val="24"/>
                <w:szCs w:val="24"/>
                <w:lang w:val="en-US"/>
              </w:rPr>
              <w:t>50Ni(en)</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121</w:t>
            </w:r>
          </w:p>
        </w:tc>
        <w:tc>
          <w:tcPr>
            <w:tcW w:w="2694"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0.57</w:t>
            </w:r>
          </w:p>
        </w:tc>
        <w:tc>
          <w:tcPr>
            <w:tcW w:w="2980"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16.7</w:t>
            </w:r>
          </w:p>
        </w:tc>
      </w:tr>
      <w:tr w:rsidR="00417108" w:rsidRPr="00417108" w:rsidTr="00E53BC5">
        <w:trPr>
          <w:jc w:val="center"/>
        </w:trPr>
        <w:tc>
          <w:tcPr>
            <w:tcW w:w="1816" w:type="dxa"/>
          </w:tcPr>
          <w:p w:rsidR="00417108" w:rsidRPr="00417108" w:rsidRDefault="00417108" w:rsidP="001A4F17">
            <w:pPr>
              <w:jc w:val="center"/>
              <w:rPr>
                <w:rFonts w:ascii="Times New Roman" w:hAnsi="Times New Roman" w:cs="Times New Roman"/>
                <w:sz w:val="24"/>
                <w:szCs w:val="24"/>
              </w:rPr>
            </w:pPr>
            <w:r w:rsidRPr="00417108">
              <w:rPr>
                <w:rFonts w:ascii="Times New Roman" w:hAnsi="Times New Roman" w:cs="Times New Roman"/>
                <w:sz w:val="24"/>
                <w:szCs w:val="24"/>
                <w:lang w:val="en-US"/>
              </w:rPr>
              <w:t>60Ni(en)</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101</w:t>
            </w:r>
          </w:p>
        </w:tc>
        <w:tc>
          <w:tcPr>
            <w:tcW w:w="2694"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0.40</w:t>
            </w:r>
          </w:p>
        </w:tc>
        <w:tc>
          <w:tcPr>
            <w:tcW w:w="2980" w:type="dxa"/>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14.2</w:t>
            </w:r>
          </w:p>
        </w:tc>
      </w:tr>
      <w:tr w:rsidR="003C7978" w:rsidRPr="00417108" w:rsidTr="00E53BC5">
        <w:trPr>
          <w:jc w:val="center"/>
        </w:trPr>
        <w:tc>
          <w:tcPr>
            <w:tcW w:w="1816" w:type="dxa"/>
          </w:tcPr>
          <w:p w:rsidR="003C7978" w:rsidRPr="000A44C3" w:rsidRDefault="003C797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Ni</w:t>
            </w:r>
          </w:p>
        </w:tc>
        <w:tc>
          <w:tcPr>
            <w:tcW w:w="1637" w:type="dxa"/>
          </w:tcPr>
          <w:p w:rsidR="003C7978" w:rsidRPr="000A44C3" w:rsidRDefault="000A44C3" w:rsidP="001A4F17">
            <w:pPr>
              <w:jc w:val="center"/>
              <w:rPr>
                <w:rFonts w:ascii="Times New Roman" w:hAnsi="Times New Roman" w:cs="Times New Roman"/>
                <w:sz w:val="24"/>
                <w:szCs w:val="24"/>
                <w:lang w:val="en-US"/>
              </w:rPr>
            </w:pPr>
            <w:r w:rsidRPr="000A44C3">
              <w:rPr>
                <w:rFonts w:ascii="Times New Roman" w:hAnsi="Times New Roman" w:cs="Times New Roman"/>
                <w:sz w:val="24"/>
                <w:szCs w:val="24"/>
                <w:lang w:val="en-US"/>
              </w:rPr>
              <w:t>4</w:t>
            </w:r>
          </w:p>
        </w:tc>
        <w:tc>
          <w:tcPr>
            <w:tcW w:w="2694" w:type="dxa"/>
          </w:tcPr>
          <w:p w:rsidR="003C7978" w:rsidRPr="000A44C3" w:rsidRDefault="000A44C3" w:rsidP="001A4F17">
            <w:pPr>
              <w:jc w:val="center"/>
              <w:rPr>
                <w:rFonts w:ascii="Times New Roman" w:hAnsi="Times New Roman" w:cs="Times New Roman"/>
                <w:sz w:val="24"/>
                <w:szCs w:val="24"/>
                <w:lang w:val="en-US"/>
              </w:rPr>
            </w:pPr>
            <w:r w:rsidRPr="000A44C3">
              <w:rPr>
                <w:rFonts w:ascii="Times New Roman" w:hAnsi="Times New Roman" w:cs="Times New Roman"/>
                <w:sz w:val="24"/>
                <w:szCs w:val="24"/>
                <w:lang w:val="en-US"/>
              </w:rPr>
              <w:t>0.01</w:t>
            </w:r>
          </w:p>
        </w:tc>
        <w:tc>
          <w:tcPr>
            <w:tcW w:w="2980" w:type="dxa"/>
          </w:tcPr>
          <w:p w:rsidR="003C7978" w:rsidRPr="000A44C3" w:rsidRDefault="000A44C3" w:rsidP="001A4F17">
            <w:pPr>
              <w:jc w:val="center"/>
              <w:rPr>
                <w:rFonts w:ascii="Times New Roman" w:hAnsi="Times New Roman" w:cs="Times New Roman"/>
                <w:sz w:val="24"/>
                <w:szCs w:val="24"/>
                <w:lang w:val="en-US"/>
              </w:rPr>
            </w:pPr>
            <w:r w:rsidRPr="000A44C3">
              <w:rPr>
                <w:rFonts w:ascii="Times New Roman" w:hAnsi="Times New Roman" w:cs="Times New Roman"/>
                <w:sz w:val="24"/>
                <w:szCs w:val="24"/>
                <w:lang w:val="en-US"/>
              </w:rPr>
              <w:t>69.5</w:t>
            </w:r>
          </w:p>
        </w:tc>
      </w:tr>
      <w:tr w:rsidR="00417108" w:rsidRPr="00417108" w:rsidTr="00794F40">
        <w:trPr>
          <w:jc w:val="center"/>
        </w:trPr>
        <w:tc>
          <w:tcPr>
            <w:tcW w:w="1816"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rPr>
            </w:pPr>
            <w:r w:rsidRPr="00417108">
              <w:rPr>
                <w:rFonts w:ascii="Times New Roman" w:hAnsi="Times New Roman" w:cs="Times New Roman"/>
                <w:sz w:val="24"/>
                <w:szCs w:val="24"/>
                <w:lang w:val="en-US"/>
              </w:rPr>
              <w:t>30Ni(NO</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w:t>
            </w:r>
            <w:r w:rsidRPr="00417108">
              <w:rPr>
                <w:rFonts w:ascii="Times New Roman" w:hAnsi="Times New Roman" w:cs="Times New Roman"/>
                <w:sz w:val="24"/>
                <w:szCs w:val="24"/>
                <w:vertAlign w:val="subscript"/>
                <w:lang w:val="en-US"/>
              </w:rPr>
              <w:t>2</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126</w:t>
            </w:r>
          </w:p>
        </w:tc>
        <w:tc>
          <w:tcPr>
            <w:tcW w:w="2694"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0.74</w:t>
            </w:r>
          </w:p>
        </w:tc>
        <w:tc>
          <w:tcPr>
            <w:tcW w:w="2980"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22.7</w:t>
            </w:r>
          </w:p>
        </w:tc>
      </w:tr>
      <w:tr w:rsidR="00417108" w:rsidRPr="00417108" w:rsidTr="00794F40">
        <w:trPr>
          <w:jc w:val="center"/>
        </w:trPr>
        <w:tc>
          <w:tcPr>
            <w:tcW w:w="1816"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rPr>
            </w:pPr>
            <w:r w:rsidRPr="00417108">
              <w:rPr>
                <w:rFonts w:ascii="Times New Roman" w:hAnsi="Times New Roman" w:cs="Times New Roman"/>
                <w:sz w:val="24"/>
                <w:szCs w:val="24"/>
                <w:lang w:val="en-US"/>
              </w:rPr>
              <w:t>50Ni(NO</w:t>
            </w:r>
            <w:r w:rsidRPr="00417108">
              <w:rPr>
                <w:rFonts w:ascii="Times New Roman" w:hAnsi="Times New Roman" w:cs="Times New Roman"/>
                <w:sz w:val="24"/>
                <w:szCs w:val="24"/>
                <w:vertAlign w:val="subscript"/>
                <w:lang w:val="en-US"/>
              </w:rPr>
              <w:t>3</w:t>
            </w:r>
            <w:r w:rsidRPr="00417108">
              <w:rPr>
                <w:rFonts w:ascii="Times New Roman" w:hAnsi="Times New Roman" w:cs="Times New Roman"/>
                <w:sz w:val="24"/>
                <w:szCs w:val="24"/>
                <w:lang w:val="en-US"/>
              </w:rPr>
              <w:t>)</w:t>
            </w:r>
            <w:r w:rsidRPr="00417108">
              <w:rPr>
                <w:rFonts w:ascii="Times New Roman" w:hAnsi="Times New Roman" w:cs="Times New Roman"/>
                <w:sz w:val="24"/>
                <w:szCs w:val="24"/>
                <w:vertAlign w:val="subscript"/>
                <w:lang w:val="en-US"/>
              </w:rPr>
              <w:t>2</w:t>
            </w:r>
            <w:r w:rsidRPr="00417108">
              <w:rPr>
                <w:rFonts w:ascii="Times New Roman" w:hAnsi="Times New Roman" w:cs="Times New Roman"/>
                <w:sz w:val="24"/>
                <w:szCs w:val="24"/>
                <w:lang w:val="en-US"/>
              </w:rPr>
              <w:t>SiO</w:t>
            </w:r>
            <w:r w:rsidRPr="00417108">
              <w:rPr>
                <w:rFonts w:ascii="Times New Roman" w:hAnsi="Times New Roman" w:cs="Times New Roman"/>
                <w:sz w:val="24"/>
                <w:szCs w:val="24"/>
                <w:vertAlign w:val="subscript"/>
                <w:lang w:val="en-US"/>
              </w:rPr>
              <w:t>2</w:t>
            </w:r>
          </w:p>
        </w:tc>
        <w:tc>
          <w:tcPr>
            <w:tcW w:w="1637"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95</w:t>
            </w:r>
          </w:p>
        </w:tc>
        <w:tc>
          <w:tcPr>
            <w:tcW w:w="2694"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0.65</w:t>
            </w:r>
          </w:p>
        </w:tc>
        <w:tc>
          <w:tcPr>
            <w:tcW w:w="2980" w:type="dxa"/>
            <w:shd w:val="clear" w:color="auto" w:fill="D9D9D9" w:themeFill="background1" w:themeFillShade="D9"/>
          </w:tcPr>
          <w:p w:rsidR="00417108" w:rsidRPr="00417108" w:rsidRDefault="00417108" w:rsidP="001A4F17">
            <w:pPr>
              <w:jc w:val="center"/>
              <w:rPr>
                <w:rFonts w:ascii="Times New Roman" w:hAnsi="Times New Roman" w:cs="Times New Roman"/>
                <w:sz w:val="24"/>
                <w:szCs w:val="24"/>
                <w:lang w:val="en-US"/>
              </w:rPr>
            </w:pPr>
            <w:r w:rsidRPr="00417108">
              <w:rPr>
                <w:rFonts w:ascii="Times New Roman" w:hAnsi="Times New Roman" w:cs="Times New Roman"/>
                <w:sz w:val="24"/>
                <w:szCs w:val="24"/>
                <w:lang w:val="en-US"/>
              </w:rPr>
              <w:t>25.9</w:t>
            </w:r>
          </w:p>
        </w:tc>
      </w:tr>
    </w:tbl>
    <w:p w:rsidR="005D7556" w:rsidRDefault="005D7556" w:rsidP="00EA051A">
      <w:pPr>
        <w:tabs>
          <w:tab w:val="num" w:pos="720"/>
        </w:tabs>
        <w:ind w:right="-58"/>
        <w:jc w:val="both"/>
        <w:rPr>
          <w:lang w:val="el-GR"/>
        </w:rPr>
      </w:pPr>
    </w:p>
    <w:p w:rsidR="00C72CA2" w:rsidRDefault="00C72CA2" w:rsidP="00EA051A">
      <w:pPr>
        <w:tabs>
          <w:tab w:val="num" w:pos="720"/>
        </w:tabs>
        <w:ind w:right="-58"/>
        <w:jc w:val="both"/>
        <w:rPr>
          <w:lang w:val="el-GR"/>
        </w:rPr>
      </w:pPr>
    </w:p>
    <w:p w:rsidR="00C72CA2" w:rsidRDefault="00193710" w:rsidP="00193710">
      <w:pPr>
        <w:tabs>
          <w:tab w:val="num" w:pos="720"/>
        </w:tabs>
        <w:ind w:right="-58"/>
        <w:jc w:val="center"/>
        <w:rPr>
          <w:lang w:val="el-GR"/>
        </w:rPr>
      </w:pPr>
      <w:r w:rsidRPr="00193710">
        <w:rPr>
          <w:noProof/>
          <w:lang w:val="el-GR" w:eastAsia="el-GR"/>
        </w:rPr>
        <w:drawing>
          <wp:inline distT="0" distB="0" distL="0" distR="0">
            <wp:extent cx="5127625" cy="3076575"/>
            <wp:effectExtent l="19050" t="0" r="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128193" cy="3076916"/>
                    </a:xfrm>
                    <a:prstGeom prst="rect">
                      <a:avLst/>
                    </a:prstGeom>
                    <a:noFill/>
                    <a:ln w="9525">
                      <a:noFill/>
                      <a:miter lim="800000"/>
                      <a:headEnd/>
                      <a:tailEnd/>
                    </a:ln>
                  </pic:spPr>
                </pic:pic>
              </a:graphicData>
            </a:graphic>
          </wp:inline>
        </w:drawing>
      </w:r>
    </w:p>
    <w:p w:rsidR="00C72CA2" w:rsidRDefault="00193710" w:rsidP="00EA051A">
      <w:pPr>
        <w:tabs>
          <w:tab w:val="num" w:pos="720"/>
        </w:tabs>
        <w:ind w:right="-58"/>
        <w:jc w:val="both"/>
        <w:rPr>
          <w:lang w:val="el-GR"/>
        </w:rPr>
      </w:pPr>
      <w:r w:rsidRPr="00193710">
        <w:rPr>
          <w:b/>
          <w:lang w:val="el-GR"/>
        </w:rPr>
        <w:t xml:space="preserve">Σχήμα </w:t>
      </w:r>
      <w:r w:rsidR="00BD710D">
        <w:rPr>
          <w:b/>
          <w:lang w:val="el-GR"/>
        </w:rPr>
        <w:t>2</w:t>
      </w:r>
      <w:r>
        <w:rPr>
          <w:lang w:val="el-GR"/>
        </w:rPr>
        <w:t>. Κατανομή μεγέθους πόρων των παρασκευασθέντων καταλυτών.</w:t>
      </w:r>
    </w:p>
    <w:p w:rsidR="00C72CA2" w:rsidRPr="00C72CA2" w:rsidRDefault="00C72CA2" w:rsidP="00EA051A">
      <w:pPr>
        <w:tabs>
          <w:tab w:val="num" w:pos="720"/>
        </w:tabs>
        <w:ind w:right="-58"/>
        <w:jc w:val="both"/>
        <w:rPr>
          <w:lang w:val="el-GR"/>
        </w:rPr>
      </w:pPr>
    </w:p>
    <w:p w:rsidR="00193710" w:rsidRDefault="00193710" w:rsidP="00EA051A">
      <w:pPr>
        <w:tabs>
          <w:tab w:val="num" w:pos="720"/>
        </w:tabs>
        <w:ind w:right="-58"/>
        <w:jc w:val="both"/>
        <w:rPr>
          <w:lang w:val="el-GR"/>
        </w:rPr>
      </w:pPr>
      <w:r>
        <w:rPr>
          <w:lang w:val="el-GR"/>
        </w:rPr>
        <w:tab/>
      </w:r>
      <w:r w:rsidR="00DC2B91">
        <w:rPr>
          <w:lang w:val="el-GR"/>
        </w:rPr>
        <w:t xml:space="preserve">Παρατηρούμε ότι οι τιμές της ειδικής επιφάνειας για τους καταλύτες </w:t>
      </w:r>
      <w:r w:rsidR="00DC2B91" w:rsidRPr="00417108">
        <w:rPr>
          <w:lang w:val="en-US"/>
        </w:rPr>
        <w:t>Ni</w:t>
      </w:r>
      <w:r w:rsidR="00DC2B91" w:rsidRPr="00DC2B91">
        <w:rPr>
          <w:lang w:val="el-GR"/>
        </w:rPr>
        <w:t>(</w:t>
      </w:r>
      <w:r w:rsidR="00DC2B91" w:rsidRPr="00417108">
        <w:rPr>
          <w:lang w:val="en-US"/>
        </w:rPr>
        <w:t>en</w:t>
      </w:r>
      <w:r w:rsidR="00DC2B91" w:rsidRPr="00DC2B91">
        <w:rPr>
          <w:lang w:val="el-GR"/>
        </w:rPr>
        <w:t>)</w:t>
      </w:r>
      <w:r w:rsidR="00DC2B91" w:rsidRPr="00DC2B91">
        <w:rPr>
          <w:vertAlign w:val="subscript"/>
          <w:lang w:val="el-GR"/>
        </w:rPr>
        <w:t>3</w:t>
      </w:r>
      <w:proofErr w:type="spellStart"/>
      <w:r w:rsidR="00DC2B91" w:rsidRPr="00417108">
        <w:rPr>
          <w:lang w:val="en-US"/>
        </w:rPr>
        <w:t>SiO</w:t>
      </w:r>
      <w:proofErr w:type="spellEnd"/>
      <w:r w:rsidR="00DC2B91" w:rsidRPr="00DC2B91">
        <w:rPr>
          <w:vertAlign w:val="subscript"/>
          <w:lang w:val="el-GR"/>
        </w:rPr>
        <w:t>2</w:t>
      </w:r>
      <w:r w:rsidR="00DC2B91">
        <w:rPr>
          <w:lang w:val="el-GR"/>
        </w:rPr>
        <w:t xml:space="preserve"> έχουν μειούμενη τάση καθώς το ποσοστό του </w:t>
      </w:r>
      <w:r w:rsidR="00DC2B91">
        <w:rPr>
          <w:lang w:val="en-US"/>
        </w:rPr>
        <w:t>Ni</w:t>
      </w:r>
      <w:r w:rsidR="00DC2B91" w:rsidRPr="00DC2B91">
        <w:rPr>
          <w:lang w:val="el-GR"/>
        </w:rPr>
        <w:t xml:space="preserve"> </w:t>
      </w:r>
      <w:r w:rsidR="00DC2B91">
        <w:rPr>
          <w:lang w:val="el-GR"/>
        </w:rPr>
        <w:t xml:space="preserve">αυξάνεται. Αν κανείς όμως λάβει υπόψη του ότι οι τιμές αυτές είναι εκφρασμένες ανά γραμμάριο καταλύτη και όχι ανά γραμμάριο φορέα, καθώς και ότι αυξανομένου του ποσοστού του </w:t>
      </w:r>
      <w:r w:rsidR="00DC2B91">
        <w:rPr>
          <w:lang w:val="en-US"/>
        </w:rPr>
        <w:t>Ni</w:t>
      </w:r>
      <w:r w:rsidR="00DC2B91" w:rsidRPr="00DC2B91">
        <w:rPr>
          <w:lang w:val="el-GR"/>
        </w:rPr>
        <w:t xml:space="preserve">, </w:t>
      </w:r>
      <w:r w:rsidR="00DC2B91">
        <w:rPr>
          <w:lang w:val="el-GR"/>
        </w:rPr>
        <w:t xml:space="preserve">μειώνεται η συνεισφορά του πορώδους </w:t>
      </w:r>
      <w:r w:rsidR="00DC2B91">
        <w:rPr>
          <w:lang w:val="el-GR"/>
        </w:rPr>
        <w:lastRenderedPageBreak/>
        <w:t xml:space="preserve">φορέα στη συνολική σύσταση του καταλύτη, τότε μπορεί εύκολα να καταλήξει στο συμπέρασμα ότι πρακτικά η ειδική επιφάνεια του φορέα δεν μειώνεται, παρά την εναπόθεση σε αυτόν μεγάλης ποσότητας δραστικής φάσης. Αυτό είναι μια πρώτη ένδειξη ότι στους καταλύτες αυτούς το νικέλιο έχει εναποτεθεί με πολύ καλή διασπορά, χωρίς να σχηματίζει μεγάλα συσσωματώματα και να φράζει πόρους του υποστρώματος. </w:t>
      </w:r>
      <w:r w:rsidR="000A44C3">
        <w:rPr>
          <w:lang w:val="el-GR"/>
        </w:rPr>
        <w:t>Το συμπέρασμα αυτό ενισχύεται και από την προσεχτική παρατήρηση της εξέλιξης των τιμών της μέσης διαμέτρου πόρων των καταλυτών</w:t>
      </w:r>
      <w:r w:rsidR="006D23ED">
        <w:rPr>
          <w:lang w:val="el-GR"/>
        </w:rPr>
        <w:t xml:space="preserve">, καθώς αυξάνεται το ποσοστό του </w:t>
      </w:r>
      <w:r w:rsidR="006D23ED">
        <w:rPr>
          <w:lang w:val="en-US"/>
        </w:rPr>
        <w:t>Ni</w:t>
      </w:r>
      <w:r w:rsidR="000A44C3">
        <w:rPr>
          <w:lang w:val="el-GR"/>
        </w:rPr>
        <w:t xml:space="preserve">. Στους καταλύτες </w:t>
      </w:r>
      <w:r w:rsidR="000A44C3" w:rsidRPr="00417108">
        <w:rPr>
          <w:lang w:val="en-US"/>
        </w:rPr>
        <w:t>Ni</w:t>
      </w:r>
      <w:r w:rsidR="000A44C3" w:rsidRPr="00DC2B91">
        <w:rPr>
          <w:lang w:val="el-GR"/>
        </w:rPr>
        <w:t>(</w:t>
      </w:r>
      <w:r w:rsidR="000A44C3" w:rsidRPr="00417108">
        <w:rPr>
          <w:lang w:val="en-US"/>
        </w:rPr>
        <w:t>en</w:t>
      </w:r>
      <w:r w:rsidR="000A44C3" w:rsidRPr="00DC2B91">
        <w:rPr>
          <w:lang w:val="el-GR"/>
        </w:rPr>
        <w:t>)</w:t>
      </w:r>
      <w:r w:rsidR="000A44C3" w:rsidRPr="00DC2B91">
        <w:rPr>
          <w:vertAlign w:val="subscript"/>
          <w:lang w:val="el-GR"/>
        </w:rPr>
        <w:t>3</w:t>
      </w:r>
      <w:proofErr w:type="spellStart"/>
      <w:r w:rsidR="000A44C3" w:rsidRPr="00417108">
        <w:rPr>
          <w:lang w:val="en-US"/>
        </w:rPr>
        <w:t>SiO</w:t>
      </w:r>
      <w:proofErr w:type="spellEnd"/>
      <w:r w:rsidR="000A44C3" w:rsidRPr="00DC2B91">
        <w:rPr>
          <w:vertAlign w:val="subscript"/>
          <w:lang w:val="el-GR"/>
        </w:rPr>
        <w:t>2</w:t>
      </w:r>
      <w:r w:rsidR="00DC2B91">
        <w:rPr>
          <w:lang w:val="el-GR"/>
        </w:rPr>
        <w:t xml:space="preserve"> </w:t>
      </w:r>
      <w:r w:rsidR="006D23ED">
        <w:rPr>
          <w:lang w:val="el-GR"/>
        </w:rPr>
        <w:t xml:space="preserve">υπάρχει μια μικρή πτώση της μέσης διαμέτρου των πόρων, που δικαιολογείται από την ομοιόμορφη εναπόθεση σε αυτούς του </w:t>
      </w:r>
      <w:r w:rsidR="006D23ED">
        <w:rPr>
          <w:lang w:val="en-US"/>
        </w:rPr>
        <w:t>Ni</w:t>
      </w:r>
      <w:r w:rsidR="006D23ED" w:rsidRPr="006D23ED">
        <w:rPr>
          <w:lang w:val="el-GR"/>
        </w:rPr>
        <w:t>.</w:t>
      </w:r>
      <w:r w:rsidR="006D23ED">
        <w:rPr>
          <w:lang w:val="el-GR"/>
        </w:rPr>
        <w:t xml:space="preserve"> </w:t>
      </w:r>
      <w:r w:rsidR="006D7274">
        <w:rPr>
          <w:lang w:val="el-GR"/>
        </w:rPr>
        <w:t xml:space="preserve">Αντίθετα, στους καταλύτες </w:t>
      </w:r>
      <w:r w:rsidR="006D7274" w:rsidRPr="00417108">
        <w:rPr>
          <w:lang w:val="en-US"/>
        </w:rPr>
        <w:t>Ni</w:t>
      </w:r>
      <w:r w:rsidR="006D7274" w:rsidRPr="006D7274">
        <w:rPr>
          <w:lang w:val="el-GR"/>
        </w:rPr>
        <w:t>(</w:t>
      </w:r>
      <w:r w:rsidR="006D7274" w:rsidRPr="00417108">
        <w:rPr>
          <w:lang w:val="en-US"/>
        </w:rPr>
        <w:t>NO</w:t>
      </w:r>
      <w:r w:rsidR="006D7274" w:rsidRPr="006D7274">
        <w:rPr>
          <w:vertAlign w:val="subscript"/>
          <w:lang w:val="el-GR"/>
        </w:rPr>
        <w:t>3</w:t>
      </w:r>
      <w:r w:rsidR="006D7274" w:rsidRPr="006D7274">
        <w:rPr>
          <w:lang w:val="el-GR"/>
        </w:rPr>
        <w:t>)</w:t>
      </w:r>
      <w:r w:rsidR="006D7274" w:rsidRPr="006D7274">
        <w:rPr>
          <w:vertAlign w:val="subscript"/>
          <w:lang w:val="el-GR"/>
        </w:rPr>
        <w:t>2</w:t>
      </w:r>
      <w:proofErr w:type="spellStart"/>
      <w:r w:rsidR="006D7274" w:rsidRPr="00417108">
        <w:rPr>
          <w:lang w:val="en-US"/>
        </w:rPr>
        <w:t>SiO</w:t>
      </w:r>
      <w:proofErr w:type="spellEnd"/>
      <w:r w:rsidR="006D7274" w:rsidRPr="006D7274">
        <w:rPr>
          <w:vertAlign w:val="subscript"/>
          <w:lang w:val="el-GR"/>
        </w:rPr>
        <w:t>2</w:t>
      </w:r>
      <w:r w:rsidR="006D7274">
        <w:rPr>
          <w:lang w:val="el-GR"/>
        </w:rPr>
        <w:t xml:space="preserve"> η μέση διάμετρος των πόρων παραμένει μεγάλη ακόμα και μετά την εναπόθεση υψηλού ποσοστού </w:t>
      </w:r>
      <w:r w:rsidR="006D7274">
        <w:rPr>
          <w:lang w:val="en-US"/>
        </w:rPr>
        <w:t>Ni</w:t>
      </w:r>
      <w:r w:rsidR="006D7274">
        <w:rPr>
          <w:lang w:val="el-GR"/>
        </w:rPr>
        <w:t xml:space="preserve"> (30% ή 50%), κάτι που δείχνει ότι οι μικροί πόροι έχουν φράξει και δεν συνεισφέρουν στη </w:t>
      </w:r>
      <w:r w:rsidR="006D7274" w:rsidRPr="006D7274">
        <w:rPr>
          <w:u w:val="single"/>
          <w:lang w:val="el-GR"/>
        </w:rPr>
        <w:t>μέση</w:t>
      </w:r>
      <w:r w:rsidR="006D7274">
        <w:rPr>
          <w:lang w:val="el-GR"/>
        </w:rPr>
        <w:t xml:space="preserve"> διάμετρο των πόρων. Αυτό ενισχύεται και από το γεγονός ότι οι δύο αυτοί καταλύτες έχουν σημαντικά μικρότερη ειδική επιφάνεια σε σχέση με τους αντίστοιχους που έχουν παρασκευαστεί με τη χρήση του </w:t>
      </w:r>
      <w:proofErr w:type="spellStart"/>
      <w:r w:rsidR="006D7274">
        <w:rPr>
          <w:lang w:val="el-GR"/>
        </w:rPr>
        <w:t>συμπλόκου</w:t>
      </w:r>
      <w:proofErr w:type="spellEnd"/>
      <w:r w:rsidR="006D7274">
        <w:rPr>
          <w:lang w:val="el-GR"/>
        </w:rPr>
        <w:t xml:space="preserve"> </w:t>
      </w:r>
      <w:r w:rsidR="006D7274" w:rsidRPr="00417108">
        <w:rPr>
          <w:lang w:val="el-GR"/>
        </w:rPr>
        <w:t>[</w:t>
      </w:r>
      <w:r w:rsidR="006D7274" w:rsidRPr="00417108">
        <w:t>Ni</w:t>
      </w:r>
      <w:r w:rsidR="006D7274" w:rsidRPr="00417108">
        <w:rPr>
          <w:lang w:val="el-GR"/>
        </w:rPr>
        <w:t>(</w:t>
      </w:r>
      <w:r w:rsidR="006D7274" w:rsidRPr="00417108">
        <w:t>en</w:t>
      </w:r>
      <w:r w:rsidR="006D7274" w:rsidRPr="00417108">
        <w:rPr>
          <w:lang w:val="el-GR"/>
        </w:rPr>
        <w:t>)</w:t>
      </w:r>
      <w:r w:rsidR="006D7274" w:rsidRPr="00417108">
        <w:rPr>
          <w:vertAlign w:val="subscript"/>
          <w:lang w:val="el-GR"/>
        </w:rPr>
        <w:t>3</w:t>
      </w:r>
      <w:r w:rsidR="006D7274" w:rsidRPr="00417108">
        <w:rPr>
          <w:lang w:val="el-GR"/>
        </w:rPr>
        <w:t>]</w:t>
      </w:r>
      <w:r w:rsidR="006D7274" w:rsidRPr="00417108">
        <w:rPr>
          <w:vertAlign w:val="superscript"/>
          <w:lang w:val="el-GR"/>
        </w:rPr>
        <w:t>2+</w:t>
      </w:r>
      <w:r>
        <w:rPr>
          <w:lang w:val="el-GR"/>
        </w:rPr>
        <w:t>.</w:t>
      </w:r>
    </w:p>
    <w:p w:rsidR="00DC2B91" w:rsidRPr="00833A1C" w:rsidRDefault="00193710" w:rsidP="00EA051A">
      <w:pPr>
        <w:tabs>
          <w:tab w:val="num" w:pos="720"/>
        </w:tabs>
        <w:ind w:right="-58"/>
        <w:jc w:val="both"/>
        <w:rPr>
          <w:lang w:val="el-GR"/>
        </w:rPr>
      </w:pPr>
      <w:r>
        <w:rPr>
          <w:lang w:val="el-GR"/>
        </w:rPr>
        <w:tab/>
      </w:r>
      <w:r w:rsidR="006D7274">
        <w:rPr>
          <w:lang w:val="el-GR"/>
        </w:rPr>
        <w:t xml:space="preserve">Τα παραπάνω ευρήματα είναι σε πλήρη συμφωνία με τη βιβλιογραφία, στην οποία αναφέρεται ότι ο εμποτισμός του υποστρώματος με χρήση </w:t>
      </w:r>
      <w:proofErr w:type="spellStart"/>
      <w:r w:rsidR="006D7274">
        <w:rPr>
          <w:lang w:val="el-GR"/>
        </w:rPr>
        <w:t>συμπλόκων</w:t>
      </w:r>
      <w:proofErr w:type="spellEnd"/>
      <w:r w:rsidR="006D7274">
        <w:rPr>
          <w:lang w:val="el-GR"/>
        </w:rPr>
        <w:t xml:space="preserve"> του </w:t>
      </w:r>
      <w:r w:rsidR="006D7274">
        <w:rPr>
          <w:lang w:val="en-US"/>
        </w:rPr>
        <w:t>Ni</w:t>
      </w:r>
      <w:r w:rsidR="006D7274" w:rsidRPr="006D7274">
        <w:rPr>
          <w:lang w:val="el-GR"/>
        </w:rPr>
        <w:t xml:space="preserve"> </w:t>
      </w:r>
      <w:r w:rsidR="006D7274">
        <w:rPr>
          <w:lang w:val="el-GR"/>
        </w:rPr>
        <w:t xml:space="preserve">με </w:t>
      </w:r>
      <w:proofErr w:type="spellStart"/>
      <w:r w:rsidR="006D7274">
        <w:rPr>
          <w:lang w:val="el-GR"/>
        </w:rPr>
        <w:t>χηλικούς</w:t>
      </w:r>
      <w:proofErr w:type="spellEnd"/>
      <w:r w:rsidR="006D7274">
        <w:rPr>
          <w:lang w:val="el-GR"/>
        </w:rPr>
        <w:t xml:space="preserve"> </w:t>
      </w:r>
      <w:proofErr w:type="spellStart"/>
      <w:r w:rsidR="006D7274">
        <w:rPr>
          <w:lang w:val="el-GR"/>
        </w:rPr>
        <w:t>υποκαταστάτες</w:t>
      </w:r>
      <w:proofErr w:type="spellEnd"/>
      <w:r w:rsidR="006D7274">
        <w:rPr>
          <w:lang w:val="el-GR"/>
        </w:rPr>
        <w:t xml:space="preserve"> (π.χ. </w:t>
      </w:r>
      <w:r w:rsidR="006D7274" w:rsidRPr="00417108">
        <w:rPr>
          <w:lang w:val="el-GR"/>
        </w:rPr>
        <w:t>[</w:t>
      </w:r>
      <w:r w:rsidR="006D7274" w:rsidRPr="00417108">
        <w:t>Ni</w:t>
      </w:r>
      <w:r w:rsidR="006D7274" w:rsidRPr="00417108">
        <w:rPr>
          <w:lang w:val="el-GR"/>
        </w:rPr>
        <w:t>(</w:t>
      </w:r>
      <w:r w:rsidR="006D7274" w:rsidRPr="00417108">
        <w:t>en</w:t>
      </w:r>
      <w:r w:rsidR="006D7274" w:rsidRPr="00417108">
        <w:rPr>
          <w:lang w:val="el-GR"/>
        </w:rPr>
        <w:t>)</w:t>
      </w:r>
      <w:r w:rsidR="006D7274" w:rsidRPr="00417108">
        <w:rPr>
          <w:vertAlign w:val="subscript"/>
          <w:lang w:val="el-GR"/>
        </w:rPr>
        <w:t>3</w:t>
      </w:r>
      <w:r w:rsidR="006D7274" w:rsidRPr="00417108">
        <w:rPr>
          <w:lang w:val="el-GR"/>
        </w:rPr>
        <w:t>]</w:t>
      </w:r>
      <w:r w:rsidR="006D7274" w:rsidRPr="00417108">
        <w:rPr>
          <w:vertAlign w:val="superscript"/>
          <w:lang w:val="el-GR"/>
        </w:rPr>
        <w:t>2+</w:t>
      </w:r>
      <w:r w:rsidR="006D7274">
        <w:rPr>
          <w:lang w:val="el-GR"/>
        </w:rPr>
        <w:t xml:space="preserve">) οδηγεί σε πολύ καλύτερη διασπορά του </w:t>
      </w:r>
      <w:r w:rsidR="006D7274">
        <w:rPr>
          <w:lang w:val="en-US"/>
        </w:rPr>
        <w:t>Ni</w:t>
      </w:r>
      <w:r w:rsidR="006D7274" w:rsidRPr="006D7274">
        <w:rPr>
          <w:lang w:val="el-GR"/>
        </w:rPr>
        <w:t xml:space="preserve"> </w:t>
      </w:r>
      <w:r w:rsidR="006D7274">
        <w:rPr>
          <w:lang w:val="el-GR"/>
        </w:rPr>
        <w:t xml:space="preserve">σε σχέση με αυτόν που επιτυγχάνεται χρησιμοποιώντας το πιο απλό και ευρύτερα γνωστό υδατικό </w:t>
      </w:r>
      <w:proofErr w:type="spellStart"/>
      <w:r w:rsidR="006D7274">
        <w:rPr>
          <w:lang w:val="el-GR"/>
        </w:rPr>
        <w:t>σύμπλοκο</w:t>
      </w:r>
      <w:proofErr w:type="spellEnd"/>
      <w:r w:rsidR="006D7274">
        <w:rPr>
          <w:lang w:val="el-GR"/>
        </w:rPr>
        <w:t xml:space="preserve"> του </w:t>
      </w:r>
      <w:r w:rsidR="006D7274">
        <w:rPr>
          <w:lang w:val="en-US"/>
        </w:rPr>
        <w:t>Ni</w:t>
      </w:r>
      <w:r w:rsidR="006D7274" w:rsidRPr="006D7274">
        <w:rPr>
          <w:lang w:val="el-GR"/>
        </w:rPr>
        <w:t xml:space="preserve">, </w:t>
      </w:r>
      <w:r w:rsidR="006D7274" w:rsidRPr="00417108">
        <w:rPr>
          <w:lang w:val="el-GR"/>
        </w:rPr>
        <w:t>[</w:t>
      </w:r>
      <w:r w:rsidR="006D7274" w:rsidRPr="00417108">
        <w:t>Ni</w:t>
      </w:r>
      <w:r w:rsidR="006D7274" w:rsidRPr="00417108">
        <w:rPr>
          <w:lang w:val="el-GR"/>
        </w:rPr>
        <w:t>(</w:t>
      </w:r>
      <w:r w:rsidR="006D7274" w:rsidRPr="00417108">
        <w:t>H</w:t>
      </w:r>
      <w:r w:rsidR="006D7274" w:rsidRPr="00417108">
        <w:rPr>
          <w:vertAlign w:val="subscript"/>
          <w:lang w:val="el-GR"/>
        </w:rPr>
        <w:t>2</w:t>
      </w:r>
      <w:r w:rsidR="006D7274" w:rsidRPr="00417108">
        <w:t>O</w:t>
      </w:r>
      <w:r w:rsidR="006D7274" w:rsidRPr="00417108">
        <w:rPr>
          <w:lang w:val="el-GR"/>
        </w:rPr>
        <w:t>)</w:t>
      </w:r>
      <w:r w:rsidR="006D7274" w:rsidRPr="00417108">
        <w:rPr>
          <w:vertAlign w:val="subscript"/>
          <w:lang w:val="el-GR"/>
        </w:rPr>
        <w:t>6</w:t>
      </w:r>
      <w:r w:rsidR="006D7274" w:rsidRPr="00417108">
        <w:rPr>
          <w:lang w:val="el-GR"/>
        </w:rPr>
        <w:t>]</w:t>
      </w:r>
      <w:r w:rsidR="006D7274" w:rsidRPr="00417108">
        <w:rPr>
          <w:vertAlign w:val="superscript"/>
          <w:lang w:val="el-GR"/>
        </w:rPr>
        <w:t>2+</w:t>
      </w:r>
      <w:r w:rsidR="006D7274" w:rsidRPr="006D7274">
        <w:rPr>
          <w:lang w:val="el-GR"/>
        </w:rPr>
        <w:t>.</w:t>
      </w:r>
      <w:r w:rsidR="00833A1C">
        <w:rPr>
          <w:lang w:val="el-GR"/>
        </w:rPr>
        <w:t xml:space="preserve"> </w:t>
      </w:r>
      <w:r w:rsidR="00833A1C" w:rsidRPr="00833A1C">
        <w:rPr>
          <w:lang w:val="el-GR"/>
        </w:rPr>
        <w:t xml:space="preserve">Ο πρώτος λόγος είναι η υψηλή τιμή του ιξώδους των διαλυμάτων </w:t>
      </w:r>
      <w:r w:rsidR="00833A1C">
        <w:rPr>
          <w:lang w:val="el-GR"/>
        </w:rPr>
        <w:t xml:space="preserve">που περιέχουν </w:t>
      </w:r>
      <w:proofErr w:type="spellStart"/>
      <w:r w:rsidR="00833A1C">
        <w:rPr>
          <w:lang w:val="el-GR"/>
        </w:rPr>
        <w:t>χηλικά</w:t>
      </w:r>
      <w:proofErr w:type="spellEnd"/>
      <w:r w:rsidR="00833A1C">
        <w:rPr>
          <w:lang w:val="el-GR"/>
        </w:rPr>
        <w:t xml:space="preserve"> </w:t>
      </w:r>
      <w:proofErr w:type="spellStart"/>
      <w:r w:rsidR="00833A1C">
        <w:rPr>
          <w:lang w:val="el-GR"/>
        </w:rPr>
        <w:t>σύμπλοκα</w:t>
      </w:r>
      <w:proofErr w:type="spellEnd"/>
      <w:r w:rsidR="00833A1C">
        <w:rPr>
          <w:lang w:val="el-GR"/>
        </w:rPr>
        <w:t xml:space="preserve"> του </w:t>
      </w:r>
      <w:r w:rsidR="00833A1C">
        <w:rPr>
          <w:lang w:val="en-US"/>
        </w:rPr>
        <w:t>Ni</w:t>
      </w:r>
      <w:r w:rsidR="00833A1C">
        <w:rPr>
          <w:lang w:val="el-GR"/>
        </w:rPr>
        <w:t>, κάτι</w:t>
      </w:r>
      <w:r w:rsidR="00833A1C" w:rsidRPr="00833A1C">
        <w:rPr>
          <w:lang w:val="el-GR"/>
        </w:rPr>
        <w:t xml:space="preserve"> που επιτρέπει την ομαλή και ομοιογενή διασπορά </w:t>
      </w:r>
      <w:r w:rsidR="00833A1C">
        <w:rPr>
          <w:lang w:val="el-GR"/>
        </w:rPr>
        <w:t xml:space="preserve">του </w:t>
      </w:r>
      <w:r w:rsidR="00833A1C">
        <w:rPr>
          <w:lang w:val="en-US"/>
        </w:rPr>
        <w:t>Ni</w:t>
      </w:r>
      <w:r w:rsidR="00833A1C" w:rsidRPr="00833A1C">
        <w:rPr>
          <w:lang w:val="el-GR"/>
        </w:rPr>
        <w:t xml:space="preserve"> κατά την ξήρανση του καταλύτη. Ο δεύτερος λόγος είναι ότι η απουσία υδατικών </w:t>
      </w:r>
      <w:proofErr w:type="spellStart"/>
      <w:r w:rsidR="00833A1C" w:rsidRPr="00833A1C">
        <w:rPr>
          <w:lang w:val="el-GR"/>
        </w:rPr>
        <w:t>υποκαταστατών</w:t>
      </w:r>
      <w:proofErr w:type="spellEnd"/>
      <w:r w:rsidR="00833A1C" w:rsidRPr="00833A1C">
        <w:rPr>
          <w:lang w:val="el-GR"/>
        </w:rPr>
        <w:t xml:space="preserve"> στη σφαίρα ένταξης του νικελίου οδηγεί στην σταδιακή εναπόθεση των </w:t>
      </w:r>
      <w:proofErr w:type="spellStart"/>
      <w:r w:rsidR="00833A1C" w:rsidRPr="00833A1C">
        <w:rPr>
          <w:lang w:val="el-GR"/>
        </w:rPr>
        <w:t>νικελικών</w:t>
      </w:r>
      <w:proofErr w:type="spellEnd"/>
      <w:r w:rsidR="00833A1C" w:rsidRPr="00833A1C">
        <w:rPr>
          <w:lang w:val="el-GR"/>
        </w:rPr>
        <w:t xml:space="preserve"> ειδών στην επιφάνεια του φορέα και όχι στην καταβύθιση </w:t>
      </w:r>
      <w:r w:rsidR="00833A1C" w:rsidRPr="00F922E0">
        <w:t>Ni</w:t>
      </w:r>
      <w:r w:rsidR="00833A1C" w:rsidRPr="00833A1C">
        <w:rPr>
          <w:lang w:val="el-GR"/>
        </w:rPr>
        <w:t>(</w:t>
      </w:r>
      <w:r w:rsidR="00833A1C" w:rsidRPr="00F922E0">
        <w:t>OH</w:t>
      </w:r>
      <w:r w:rsidR="00833A1C" w:rsidRPr="00833A1C">
        <w:rPr>
          <w:lang w:val="el-GR"/>
        </w:rPr>
        <w:t>)</w:t>
      </w:r>
      <w:r w:rsidR="00833A1C" w:rsidRPr="00833A1C">
        <w:rPr>
          <w:vertAlign w:val="subscript"/>
          <w:lang w:val="el-GR"/>
        </w:rPr>
        <w:t>2</w:t>
      </w:r>
      <w:r w:rsidR="00833A1C" w:rsidRPr="00833A1C">
        <w:rPr>
          <w:lang w:val="el-GR"/>
        </w:rPr>
        <w:t xml:space="preserve">. Η αποφυγή της απευθείας καταβύθισης του υδροξειδίου </w:t>
      </w:r>
      <w:r w:rsidR="00833A1C">
        <w:rPr>
          <w:lang w:val="el-GR"/>
        </w:rPr>
        <w:t xml:space="preserve">του </w:t>
      </w:r>
      <w:r w:rsidR="00833A1C">
        <w:rPr>
          <w:lang w:val="en-US"/>
        </w:rPr>
        <w:t>Ni</w:t>
      </w:r>
      <w:r w:rsidR="00833A1C">
        <w:rPr>
          <w:lang w:val="el-GR"/>
        </w:rPr>
        <w:t>,</w:t>
      </w:r>
      <w:r w:rsidR="00833A1C" w:rsidRPr="00833A1C">
        <w:rPr>
          <w:lang w:val="el-GR"/>
        </w:rPr>
        <w:t xml:space="preserve"> κατά την εναπόθεση στο στάδιο της ξήρανσης, επιτρέπει καλύτερη διασπορά </w:t>
      </w:r>
      <w:r w:rsidR="00833A1C">
        <w:rPr>
          <w:lang w:val="el-GR"/>
        </w:rPr>
        <w:t xml:space="preserve">και σχηματισμό μικρότερων </w:t>
      </w:r>
      <w:proofErr w:type="spellStart"/>
      <w:r w:rsidR="00833A1C" w:rsidRPr="00833A1C">
        <w:rPr>
          <w:lang w:val="el-GR"/>
        </w:rPr>
        <w:t>κρυσταλλιτών</w:t>
      </w:r>
      <w:proofErr w:type="spellEnd"/>
      <w:r w:rsidR="00833A1C" w:rsidRPr="00833A1C">
        <w:rPr>
          <w:lang w:val="el-GR"/>
        </w:rPr>
        <w:t xml:space="preserve"> νικελίου</w:t>
      </w:r>
      <w:r w:rsidR="00DC0059">
        <w:rPr>
          <w:lang w:val="el-GR"/>
        </w:rPr>
        <w:t xml:space="preserve"> [5-</w:t>
      </w:r>
      <w:r w:rsidR="00242D4F" w:rsidRPr="00242D4F">
        <w:rPr>
          <w:lang w:val="el-GR"/>
        </w:rPr>
        <w:t>8</w:t>
      </w:r>
      <w:r w:rsidR="00DC0059">
        <w:rPr>
          <w:lang w:val="el-GR"/>
        </w:rPr>
        <w:t>]</w:t>
      </w:r>
      <w:r w:rsidR="00833A1C">
        <w:rPr>
          <w:lang w:val="el-GR"/>
        </w:rPr>
        <w:t>.</w:t>
      </w:r>
    </w:p>
    <w:p w:rsidR="00050EE3" w:rsidRPr="00A04041" w:rsidRDefault="00193710" w:rsidP="00EA051A">
      <w:pPr>
        <w:tabs>
          <w:tab w:val="num" w:pos="720"/>
        </w:tabs>
        <w:ind w:right="-58"/>
        <w:jc w:val="both"/>
        <w:rPr>
          <w:lang w:val="el-GR"/>
        </w:rPr>
      </w:pPr>
      <w:r>
        <w:rPr>
          <w:lang w:val="el-GR"/>
        </w:rPr>
        <w:tab/>
      </w:r>
      <w:r w:rsidR="0061460F" w:rsidRPr="00896F7D">
        <w:rPr>
          <w:lang w:val="el-GR"/>
        </w:rPr>
        <w:t xml:space="preserve">Το σχήμα </w:t>
      </w:r>
      <w:r w:rsidR="00BD710D">
        <w:rPr>
          <w:lang w:val="el-GR"/>
        </w:rPr>
        <w:t>3</w:t>
      </w:r>
      <w:r w:rsidR="0061460F" w:rsidRPr="00896F7D">
        <w:rPr>
          <w:lang w:val="el-GR"/>
        </w:rPr>
        <w:t xml:space="preserve"> δείχνει ένα τυπικό </w:t>
      </w:r>
      <w:proofErr w:type="spellStart"/>
      <w:r w:rsidR="0061460F" w:rsidRPr="00896F7D">
        <w:rPr>
          <w:lang w:val="el-GR"/>
        </w:rPr>
        <w:t>χρωματογράφημα</w:t>
      </w:r>
      <w:proofErr w:type="spellEnd"/>
      <w:r w:rsidR="0061460F" w:rsidRPr="00896F7D">
        <w:rPr>
          <w:lang w:val="el-GR"/>
        </w:rPr>
        <w:t xml:space="preserve"> που λαμβάνεται μετά τη δειγματοληψία </w:t>
      </w:r>
      <w:r w:rsidR="00896F7D" w:rsidRPr="00896F7D">
        <w:rPr>
          <w:lang w:val="el-GR"/>
        </w:rPr>
        <w:t>από την υγρή φάση</w:t>
      </w:r>
      <w:r w:rsidR="0061460F" w:rsidRPr="00896F7D">
        <w:rPr>
          <w:lang w:val="el-GR"/>
        </w:rPr>
        <w:t xml:space="preserve"> </w:t>
      </w:r>
      <w:r w:rsidR="00896F7D" w:rsidRPr="00896F7D">
        <w:rPr>
          <w:lang w:val="el-GR"/>
        </w:rPr>
        <w:t>του</w:t>
      </w:r>
      <w:r w:rsidR="0061460F" w:rsidRPr="00896F7D">
        <w:rPr>
          <w:lang w:val="el-GR"/>
        </w:rPr>
        <w:t xml:space="preserve"> αντιδραστήρα. Διαπιστώθηκε ότι η υγρή φάση περιλαμβάνει το έλαιο που δεν έχει αντιδράσει, δηλαδή τα φυσικά </w:t>
      </w:r>
      <w:proofErr w:type="spellStart"/>
      <w:r w:rsidR="0061460F" w:rsidRPr="00896F7D">
        <w:rPr>
          <w:lang w:val="el-GR"/>
        </w:rPr>
        <w:t>τριγλυκερίδια</w:t>
      </w:r>
      <w:proofErr w:type="spellEnd"/>
      <w:r w:rsidR="0061460F" w:rsidRPr="00896F7D">
        <w:rPr>
          <w:lang w:val="el-GR"/>
        </w:rPr>
        <w:t xml:space="preserve">, </w:t>
      </w:r>
      <w:r w:rsidR="00896F7D" w:rsidRPr="00896F7D">
        <w:rPr>
          <w:lang w:val="el-GR"/>
        </w:rPr>
        <w:t xml:space="preserve">καθώς και </w:t>
      </w:r>
      <w:r w:rsidR="0061460F" w:rsidRPr="00896F7D">
        <w:rPr>
          <w:lang w:val="el-GR"/>
        </w:rPr>
        <w:t>υδρογονάνθρακες στην περιο</w:t>
      </w:r>
      <w:r w:rsidR="00896F7D" w:rsidRPr="00896F7D">
        <w:rPr>
          <w:lang w:val="el-GR"/>
        </w:rPr>
        <w:t>χή του</w:t>
      </w:r>
      <w:r w:rsidR="0061460F" w:rsidRPr="00896F7D">
        <w:rPr>
          <w:lang w:val="el-GR"/>
        </w:rPr>
        <w:t xml:space="preserve"> ντίζελ. Οι σημαντικότεροι υδρογονάνθρακες είναι </w:t>
      </w:r>
      <w:r w:rsidR="00896F7D">
        <w:rPr>
          <w:lang w:val="en-US"/>
        </w:rPr>
        <w:t>n</w:t>
      </w:r>
      <w:r w:rsidR="00896F7D">
        <w:rPr>
          <w:lang w:val="el-GR"/>
        </w:rPr>
        <w:t xml:space="preserve">-C17, </w:t>
      </w:r>
      <w:r w:rsidR="00896F7D">
        <w:rPr>
          <w:lang w:val="en-US"/>
        </w:rPr>
        <w:t>n</w:t>
      </w:r>
      <w:r w:rsidR="00896F7D">
        <w:rPr>
          <w:lang w:val="el-GR"/>
        </w:rPr>
        <w:t xml:space="preserve">-C18, </w:t>
      </w:r>
      <w:r w:rsidR="00896F7D">
        <w:rPr>
          <w:lang w:val="en-US"/>
        </w:rPr>
        <w:t>n</w:t>
      </w:r>
      <w:r w:rsidR="00896F7D">
        <w:rPr>
          <w:lang w:val="el-GR"/>
        </w:rPr>
        <w:t xml:space="preserve">-C15 και </w:t>
      </w:r>
      <w:r w:rsidR="00896F7D">
        <w:rPr>
          <w:lang w:val="en-US"/>
        </w:rPr>
        <w:t>n</w:t>
      </w:r>
      <w:r w:rsidR="0061460F" w:rsidRPr="00896F7D">
        <w:rPr>
          <w:lang w:val="el-GR"/>
        </w:rPr>
        <w:t xml:space="preserve">-C16. </w:t>
      </w:r>
      <w:r w:rsidR="00896F7D" w:rsidRPr="00896F7D">
        <w:rPr>
          <w:lang w:val="el-GR"/>
        </w:rPr>
        <w:t>Αξιοσημείωτες</w:t>
      </w:r>
      <w:r w:rsidR="0061460F" w:rsidRPr="00896F7D">
        <w:rPr>
          <w:lang w:val="el-GR"/>
        </w:rPr>
        <w:t xml:space="preserve"> ποσότητες υδρογονανθράκων με μικρότερο αριθμό ατόμων άνθρακα δεν ανιχνεύθηκαν υπό τις πειραματικές συνθήκες μας. Επιπλέον, βρέθηκε ότι η υγρή φάση περιλαμβάνει ενδιάμεσες ενώσεις</w:t>
      </w:r>
      <w:r w:rsidR="00ED6158">
        <w:rPr>
          <w:lang w:val="el-GR"/>
        </w:rPr>
        <w:t>,</w:t>
      </w:r>
      <w:r w:rsidR="0061460F" w:rsidRPr="00896F7D">
        <w:rPr>
          <w:lang w:val="el-GR"/>
        </w:rPr>
        <w:t xml:space="preserve"> όπως οξέα (</w:t>
      </w:r>
      <w:proofErr w:type="spellStart"/>
      <w:r w:rsidR="0061460F" w:rsidRPr="00896F7D">
        <w:rPr>
          <w:lang w:val="el-GR"/>
        </w:rPr>
        <w:t>παλμιτικό</w:t>
      </w:r>
      <w:proofErr w:type="spellEnd"/>
      <w:r w:rsidR="00896F7D" w:rsidRPr="00896F7D">
        <w:rPr>
          <w:lang w:val="el-GR"/>
        </w:rPr>
        <w:t xml:space="preserve"> και στεατικό οξύ), </w:t>
      </w:r>
      <w:proofErr w:type="spellStart"/>
      <w:r w:rsidR="00896F7D" w:rsidRPr="00896F7D">
        <w:rPr>
          <w:lang w:val="el-GR"/>
        </w:rPr>
        <w:t>προπυλεστέρες</w:t>
      </w:r>
      <w:proofErr w:type="spellEnd"/>
      <w:r w:rsidR="00896F7D" w:rsidRPr="00896F7D">
        <w:rPr>
          <w:lang w:val="el-GR"/>
        </w:rPr>
        <w:t xml:space="preserve"> και </w:t>
      </w:r>
      <w:proofErr w:type="spellStart"/>
      <w:r w:rsidR="00896F7D" w:rsidRPr="00896F7D">
        <w:rPr>
          <w:lang w:val="el-GR"/>
        </w:rPr>
        <w:t>αιθυλεστέρες</w:t>
      </w:r>
      <w:proofErr w:type="spellEnd"/>
      <w:r w:rsidR="0061460F" w:rsidRPr="00896F7D">
        <w:rPr>
          <w:lang w:val="el-GR"/>
        </w:rPr>
        <w:t xml:space="preserve">, μεγαλύτερους εστέρες και κορεσμένα </w:t>
      </w:r>
      <w:proofErr w:type="spellStart"/>
      <w:r w:rsidR="0061460F" w:rsidRPr="00896F7D">
        <w:rPr>
          <w:lang w:val="el-GR"/>
        </w:rPr>
        <w:t>διγλυκερίδια</w:t>
      </w:r>
      <w:proofErr w:type="spellEnd"/>
      <w:r w:rsidR="0061460F" w:rsidRPr="00896F7D">
        <w:rPr>
          <w:lang w:val="el-GR"/>
        </w:rPr>
        <w:t xml:space="preserve"> (</w:t>
      </w:r>
      <w:proofErr w:type="spellStart"/>
      <w:r w:rsidR="0061460F" w:rsidRPr="00896F7D">
        <w:rPr>
          <w:lang w:val="el-GR"/>
        </w:rPr>
        <w:t>διστεαρίνη</w:t>
      </w:r>
      <w:proofErr w:type="spellEnd"/>
      <w:r w:rsidR="0061460F" w:rsidRPr="00896F7D">
        <w:rPr>
          <w:lang w:val="el-GR"/>
        </w:rPr>
        <w:t xml:space="preserve">). Προπάνιο, </w:t>
      </w:r>
      <w:proofErr w:type="spellStart"/>
      <w:r w:rsidR="0061460F" w:rsidRPr="00896F7D">
        <w:rPr>
          <w:lang w:val="el-GR"/>
        </w:rPr>
        <w:t>αιθάνιο</w:t>
      </w:r>
      <w:proofErr w:type="spellEnd"/>
      <w:r w:rsidR="0061460F" w:rsidRPr="00896F7D">
        <w:rPr>
          <w:lang w:val="el-GR"/>
        </w:rPr>
        <w:t xml:space="preserve">, </w:t>
      </w:r>
      <w:r w:rsidR="00896F7D" w:rsidRPr="00896F7D">
        <w:rPr>
          <w:lang w:val="el-GR"/>
        </w:rPr>
        <w:t>μεθάνιο</w:t>
      </w:r>
      <w:r w:rsidR="0061460F" w:rsidRPr="00896F7D">
        <w:rPr>
          <w:lang w:val="el-GR"/>
        </w:rPr>
        <w:t>, CO και CO</w:t>
      </w:r>
      <w:r w:rsidR="0061460F" w:rsidRPr="00896F7D">
        <w:rPr>
          <w:vertAlign w:val="subscript"/>
          <w:lang w:val="el-GR"/>
        </w:rPr>
        <w:t>2</w:t>
      </w:r>
      <w:r w:rsidR="00896F7D" w:rsidRPr="00896F7D">
        <w:rPr>
          <w:lang w:val="el-GR"/>
        </w:rPr>
        <w:t xml:space="preserve"> ανιχνεύθηκαν στην αέρια φάση, με κυριότερα</w:t>
      </w:r>
      <w:r w:rsidR="0061460F" w:rsidRPr="00896F7D">
        <w:rPr>
          <w:lang w:val="el-GR"/>
        </w:rPr>
        <w:t xml:space="preserve"> </w:t>
      </w:r>
      <w:r w:rsidR="00896F7D" w:rsidRPr="00896F7D">
        <w:rPr>
          <w:lang w:val="el-GR"/>
        </w:rPr>
        <w:t>τα π</w:t>
      </w:r>
      <w:r w:rsidR="0061460F" w:rsidRPr="00896F7D">
        <w:rPr>
          <w:lang w:val="el-GR"/>
        </w:rPr>
        <w:t>ροπάνιο, μεθάνιο και CO</w:t>
      </w:r>
      <w:r w:rsidR="00896F7D" w:rsidRPr="00896F7D">
        <w:rPr>
          <w:lang w:val="el-GR"/>
        </w:rPr>
        <w:t>.</w:t>
      </w:r>
    </w:p>
    <w:p w:rsidR="005B74E5" w:rsidRDefault="005B74E5" w:rsidP="00EA051A">
      <w:pPr>
        <w:tabs>
          <w:tab w:val="num" w:pos="720"/>
        </w:tabs>
        <w:ind w:right="-58"/>
        <w:jc w:val="both"/>
        <w:rPr>
          <w:lang w:val="el-GR"/>
        </w:rPr>
      </w:pPr>
    </w:p>
    <w:p w:rsidR="005B74E5" w:rsidRPr="005B74E5" w:rsidRDefault="00556E5D" w:rsidP="00EA051A">
      <w:pPr>
        <w:tabs>
          <w:tab w:val="num" w:pos="720"/>
        </w:tabs>
        <w:ind w:right="-58"/>
        <w:jc w:val="both"/>
        <w:rPr>
          <w:lang w:val="el-GR"/>
        </w:rPr>
      </w:pPr>
      <w:r w:rsidRPr="00556E5D">
        <w:rPr>
          <w:noProof/>
          <w:lang w:val="el-GR" w:eastAsia="el-GR"/>
        </w:rPr>
        <w:drawing>
          <wp:inline distT="0" distB="0" distL="0" distR="0">
            <wp:extent cx="5731510" cy="1628195"/>
            <wp:effectExtent l="19050" t="0" r="254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31510" cy="1628195"/>
                    </a:xfrm>
                    <a:prstGeom prst="rect">
                      <a:avLst/>
                    </a:prstGeom>
                    <a:noFill/>
                    <a:ln w="9525">
                      <a:noFill/>
                      <a:miter lim="800000"/>
                      <a:headEnd/>
                      <a:tailEnd/>
                    </a:ln>
                  </pic:spPr>
                </pic:pic>
              </a:graphicData>
            </a:graphic>
          </wp:inline>
        </w:drawing>
      </w:r>
    </w:p>
    <w:p w:rsidR="005B74E5" w:rsidRPr="00556E5D" w:rsidRDefault="005B74E5" w:rsidP="00EA051A">
      <w:pPr>
        <w:tabs>
          <w:tab w:val="num" w:pos="720"/>
        </w:tabs>
        <w:ind w:right="-58"/>
        <w:jc w:val="both"/>
        <w:rPr>
          <w:lang w:val="el-GR"/>
        </w:rPr>
      </w:pPr>
      <w:r w:rsidRPr="009437FD">
        <w:rPr>
          <w:b/>
          <w:lang w:val="el-GR"/>
        </w:rPr>
        <w:t xml:space="preserve">Σχήμα </w:t>
      </w:r>
      <w:r w:rsidR="00BD710D">
        <w:rPr>
          <w:b/>
          <w:lang w:val="el-GR"/>
        </w:rPr>
        <w:t>3</w:t>
      </w:r>
      <w:r w:rsidRPr="00DA46FC">
        <w:rPr>
          <w:lang w:val="el-GR"/>
        </w:rPr>
        <w:t>.</w:t>
      </w:r>
      <w:r w:rsidR="00DA46FC" w:rsidRPr="009437FD">
        <w:rPr>
          <w:lang w:val="el-GR"/>
        </w:rPr>
        <w:t xml:space="preserve"> Ένα τυπικό </w:t>
      </w:r>
      <w:proofErr w:type="spellStart"/>
      <w:r w:rsidR="00DA46FC" w:rsidRPr="009437FD">
        <w:rPr>
          <w:lang w:val="el-GR"/>
        </w:rPr>
        <w:t>χρωματογράφημα</w:t>
      </w:r>
      <w:proofErr w:type="spellEnd"/>
      <w:r w:rsidR="00DA46FC" w:rsidRPr="009437FD">
        <w:rPr>
          <w:lang w:val="el-GR"/>
        </w:rPr>
        <w:t xml:space="preserve"> που λαμβάνεται με ανάλ</w:t>
      </w:r>
      <w:r w:rsidR="00AC7537" w:rsidRPr="009437FD">
        <w:rPr>
          <w:lang w:val="el-GR"/>
        </w:rPr>
        <w:t xml:space="preserve">υση ενός δείγματος που </w:t>
      </w:r>
      <w:r w:rsidR="00556E5D">
        <w:rPr>
          <w:lang w:val="el-GR"/>
        </w:rPr>
        <w:t>συλλέγεται</w:t>
      </w:r>
      <w:r w:rsidR="00DA46FC" w:rsidRPr="009437FD">
        <w:rPr>
          <w:lang w:val="el-GR"/>
        </w:rPr>
        <w:t xml:space="preserve"> από τον αντιδραστήρα</w:t>
      </w:r>
      <w:r w:rsidR="00AC7537" w:rsidRPr="009437FD">
        <w:rPr>
          <w:lang w:val="el-GR"/>
        </w:rPr>
        <w:t>,</w:t>
      </w:r>
      <w:r w:rsidR="008C358D">
        <w:rPr>
          <w:lang w:val="el-GR"/>
        </w:rPr>
        <w:t xml:space="preserve"> κατά το</w:t>
      </w:r>
      <w:r w:rsidR="00DA46FC" w:rsidRPr="009437FD">
        <w:rPr>
          <w:lang w:val="el-GR"/>
        </w:rPr>
        <w:t xml:space="preserve"> μετασχηματισμό του </w:t>
      </w:r>
      <w:proofErr w:type="spellStart"/>
      <w:r w:rsidR="00DA46FC" w:rsidRPr="009437FD">
        <w:rPr>
          <w:lang w:val="el-GR"/>
        </w:rPr>
        <w:t>ηλιελαίου</w:t>
      </w:r>
      <w:proofErr w:type="spellEnd"/>
      <w:r w:rsidR="00DA46FC" w:rsidRPr="009437FD">
        <w:rPr>
          <w:lang w:val="el-GR"/>
        </w:rPr>
        <w:t xml:space="preserve"> σε πράσινο ντίζελ</w:t>
      </w:r>
      <w:r w:rsidR="009437FD" w:rsidRPr="009437FD">
        <w:rPr>
          <w:lang w:val="el-GR"/>
        </w:rPr>
        <w:t>, παρουσία του καταλύτη</w:t>
      </w:r>
      <w:r w:rsidR="00DA46FC" w:rsidRPr="009437FD">
        <w:rPr>
          <w:lang w:val="el-GR"/>
        </w:rPr>
        <w:t xml:space="preserve"> </w:t>
      </w:r>
      <w:r w:rsidR="00556E5D" w:rsidRPr="00556E5D">
        <w:rPr>
          <w:lang w:val="el-GR"/>
        </w:rPr>
        <w:t>30</w:t>
      </w:r>
      <w:r w:rsidR="00556E5D" w:rsidRPr="00417108">
        <w:rPr>
          <w:lang w:val="en-US"/>
        </w:rPr>
        <w:t>Ni</w:t>
      </w:r>
      <w:r w:rsidR="00556E5D" w:rsidRPr="00556E5D">
        <w:rPr>
          <w:lang w:val="el-GR"/>
        </w:rPr>
        <w:t>(</w:t>
      </w:r>
      <w:r w:rsidR="00556E5D" w:rsidRPr="00417108">
        <w:rPr>
          <w:lang w:val="en-US"/>
        </w:rPr>
        <w:t>en</w:t>
      </w:r>
      <w:r w:rsidR="00556E5D" w:rsidRPr="00556E5D">
        <w:rPr>
          <w:lang w:val="el-GR"/>
        </w:rPr>
        <w:t>)</w:t>
      </w:r>
      <w:r w:rsidR="00556E5D" w:rsidRPr="00556E5D">
        <w:rPr>
          <w:vertAlign w:val="subscript"/>
          <w:lang w:val="el-GR"/>
        </w:rPr>
        <w:t>3</w:t>
      </w:r>
      <w:proofErr w:type="spellStart"/>
      <w:r w:rsidR="00556E5D" w:rsidRPr="00417108">
        <w:rPr>
          <w:lang w:val="en-US"/>
        </w:rPr>
        <w:t>SiO</w:t>
      </w:r>
      <w:proofErr w:type="spellEnd"/>
      <w:r w:rsidR="00556E5D" w:rsidRPr="00556E5D">
        <w:rPr>
          <w:vertAlign w:val="subscript"/>
          <w:lang w:val="el-GR"/>
        </w:rPr>
        <w:t>2</w:t>
      </w:r>
      <w:r w:rsidR="00556E5D">
        <w:rPr>
          <w:lang w:val="el-GR"/>
        </w:rPr>
        <w:t xml:space="preserve">, </w:t>
      </w:r>
      <w:r w:rsidR="009437FD" w:rsidRPr="009437FD">
        <w:rPr>
          <w:lang w:val="el-GR"/>
        </w:rPr>
        <w:t>για χρόνο αντίδρασης ίσο με 10</w:t>
      </w:r>
      <w:r w:rsidR="00556E5D">
        <w:rPr>
          <w:lang w:val="el-GR"/>
        </w:rPr>
        <w:t xml:space="preserve"> </w:t>
      </w:r>
      <w:r w:rsidR="00556E5D">
        <w:rPr>
          <w:lang w:val="en-US"/>
        </w:rPr>
        <w:t>h</w:t>
      </w:r>
      <w:r w:rsidR="00556E5D">
        <w:rPr>
          <w:lang w:val="el-GR"/>
        </w:rPr>
        <w:t>.</w:t>
      </w:r>
      <w:r w:rsidR="00D36349">
        <w:rPr>
          <w:lang w:val="el-GR"/>
        </w:rPr>
        <w:t xml:space="preserve"> </w:t>
      </w:r>
      <w:r w:rsidR="00556E5D" w:rsidRPr="00556E5D">
        <w:rPr>
          <w:lang w:val="el-GR"/>
        </w:rPr>
        <w:t>(</w:t>
      </w:r>
      <w:r w:rsidR="00556E5D">
        <w:rPr>
          <w:lang w:val="en-US"/>
        </w:rPr>
        <w:t>P</w:t>
      </w:r>
      <w:r w:rsidR="00556E5D" w:rsidRPr="00556E5D">
        <w:rPr>
          <w:lang w:val="el-GR"/>
        </w:rPr>
        <w:t>.</w:t>
      </w:r>
      <w:r w:rsidR="00556E5D">
        <w:rPr>
          <w:lang w:val="en-US"/>
        </w:rPr>
        <w:t>A</w:t>
      </w:r>
      <w:r w:rsidR="00556E5D">
        <w:rPr>
          <w:lang w:val="el-GR"/>
        </w:rPr>
        <w:t>.</w:t>
      </w:r>
      <w:r w:rsidR="00556E5D" w:rsidRPr="00556E5D">
        <w:rPr>
          <w:lang w:val="el-GR"/>
        </w:rPr>
        <w:t>:</w:t>
      </w:r>
      <w:r w:rsidR="00556E5D">
        <w:rPr>
          <w:lang w:val="el-GR"/>
        </w:rPr>
        <w:t xml:space="preserve"> </w:t>
      </w:r>
      <w:proofErr w:type="spellStart"/>
      <w:r w:rsidR="00556E5D">
        <w:rPr>
          <w:lang w:val="el-GR"/>
        </w:rPr>
        <w:t>Παλμιτικό</w:t>
      </w:r>
      <w:proofErr w:type="spellEnd"/>
      <w:r w:rsidR="00556E5D">
        <w:rPr>
          <w:lang w:val="el-GR"/>
        </w:rPr>
        <w:t xml:space="preserve"> οξύ, </w:t>
      </w:r>
      <w:r w:rsidR="00556E5D">
        <w:rPr>
          <w:lang w:val="en-US"/>
        </w:rPr>
        <w:t>S</w:t>
      </w:r>
      <w:r w:rsidR="00556E5D" w:rsidRPr="00556E5D">
        <w:rPr>
          <w:lang w:val="el-GR"/>
        </w:rPr>
        <w:t>.</w:t>
      </w:r>
      <w:r w:rsidR="00556E5D">
        <w:rPr>
          <w:lang w:val="en-US"/>
        </w:rPr>
        <w:t>A</w:t>
      </w:r>
      <w:r w:rsidR="00556E5D">
        <w:rPr>
          <w:lang w:val="el-GR"/>
        </w:rPr>
        <w:t>.</w:t>
      </w:r>
      <w:r w:rsidR="00556E5D" w:rsidRPr="00556E5D">
        <w:rPr>
          <w:lang w:val="el-GR"/>
        </w:rPr>
        <w:t>:</w:t>
      </w:r>
      <w:r w:rsidR="00556E5D">
        <w:rPr>
          <w:lang w:val="el-GR"/>
        </w:rPr>
        <w:t xml:space="preserve"> Στεατικό οξύ</w:t>
      </w:r>
      <w:r w:rsidR="00DA46FC" w:rsidRPr="009437FD">
        <w:rPr>
          <w:lang w:val="el-GR"/>
        </w:rPr>
        <w:t xml:space="preserve">, </w:t>
      </w:r>
      <w:r w:rsidR="00556E5D" w:rsidRPr="00556E5D">
        <w:rPr>
          <w:lang w:val="el-GR"/>
        </w:rPr>
        <w:t>1:</w:t>
      </w:r>
      <w:r w:rsidR="00DA46FC" w:rsidRPr="009437FD">
        <w:rPr>
          <w:lang w:val="el-GR"/>
        </w:rPr>
        <w:t xml:space="preserve"> </w:t>
      </w:r>
      <w:proofErr w:type="spellStart"/>
      <w:r w:rsidR="008C358D">
        <w:rPr>
          <w:lang w:val="el-GR"/>
        </w:rPr>
        <w:t>δεκαοκτανόλη</w:t>
      </w:r>
      <w:proofErr w:type="spellEnd"/>
      <w:r w:rsidR="00556E5D">
        <w:rPr>
          <w:lang w:val="el-GR"/>
        </w:rPr>
        <w:t xml:space="preserve">, </w:t>
      </w:r>
      <w:r w:rsidR="00556E5D" w:rsidRPr="00556E5D">
        <w:rPr>
          <w:lang w:val="el-GR"/>
        </w:rPr>
        <w:t>2:</w:t>
      </w:r>
      <w:r w:rsidR="00DA46FC" w:rsidRPr="009437FD">
        <w:rPr>
          <w:lang w:val="el-GR"/>
        </w:rPr>
        <w:t xml:space="preserve"> </w:t>
      </w:r>
      <w:proofErr w:type="spellStart"/>
      <w:r w:rsidR="008C358D">
        <w:rPr>
          <w:lang w:val="el-GR"/>
        </w:rPr>
        <w:t>προ</w:t>
      </w:r>
      <w:r w:rsidR="00D36349">
        <w:rPr>
          <w:lang w:val="el-GR"/>
        </w:rPr>
        <w:t>πυλεστέρας</w:t>
      </w:r>
      <w:proofErr w:type="spellEnd"/>
      <w:r w:rsidR="00D36349">
        <w:rPr>
          <w:lang w:val="el-GR"/>
        </w:rPr>
        <w:t xml:space="preserve"> του στεατικού οξέος</w:t>
      </w:r>
      <w:r w:rsidR="008C358D">
        <w:rPr>
          <w:lang w:val="el-GR"/>
        </w:rPr>
        <w:t>)</w:t>
      </w:r>
      <w:r w:rsidR="00D36349">
        <w:rPr>
          <w:lang w:val="el-GR"/>
        </w:rPr>
        <w:t>.</w:t>
      </w:r>
    </w:p>
    <w:p w:rsidR="004D14C0" w:rsidRDefault="004D14C0" w:rsidP="00EA051A">
      <w:pPr>
        <w:tabs>
          <w:tab w:val="num" w:pos="720"/>
        </w:tabs>
        <w:ind w:right="-58"/>
        <w:jc w:val="both"/>
        <w:rPr>
          <w:lang w:val="el-GR"/>
        </w:rPr>
      </w:pPr>
    </w:p>
    <w:p w:rsidR="00E45CEE" w:rsidRDefault="005D1154" w:rsidP="00EA051A">
      <w:pPr>
        <w:tabs>
          <w:tab w:val="num" w:pos="720"/>
        </w:tabs>
        <w:ind w:right="-58"/>
        <w:jc w:val="both"/>
        <w:rPr>
          <w:lang w:val="el-GR"/>
        </w:rPr>
      </w:pPr>
      <w:r>
        <w:rPr>
          <w:lang w:val="el-GR"/>
        </w:rPr>
        <w:tab/>
        <w:t>Στο σ</w:t>
      </w:r>
      <w:r w:rsidRPr="005D1154">
        <w:rPr>
          <w:lang w:val="el-GR"/>
        </w:rPr>
        <w:t xml:space="preserve">χήμα </w:t>
      </w:r>
      <w:r w:rsidR="00BD710D">
        <w:rPr>
          <w:lang w:val="el-GR"/>
        </w:rPr>
        <w:t>4</w:t>
      </w:r>
      <w:r w:rsidRPr="005D1154">
        <w:rPr>
          <w:lang w:val="el-GR"/>
        </w:rPr>
        <w:t xml:space="preserve"> </w:t>
      </w:r>
      <w:r>
        <w:rPr>
          <w:lang w:val="el-GR"/>
        </w:rPr>
        <w:t xml:space="preserve">δίνονται οι τιμές </w:t>
      </w:r>
      <w:r w:rsidRPr="005D1154">
        <w:rPr>
          <w:lang w:val="el-GR"/>
        </w:rPr>
        <w:t>μετατροπής και αποδόσεων ηλιέλαιου σε υδρογονάνθρακες</w:t>
      </w:r>
      <w:r w:rsidR="005D300B">
        <w:rPr>
          <w:lang w:val="el-GR"/>
        </w:rPr>
        <w:t>,</w:t>
      </w:r>
      <w:r w:rsidRPr="005D1154">
        <w:rPr>
          <w:lang w:val="el-GR"/>
        </w:rPr>
        <w:t xml:space="preserve"> που λαμβάνονται πάνω από τους καταλύτες </w:t>
      </w:r>
      <w:r w:rsidR="005D300B" w:rsidRPr="005D300B">
        <w:rPr>
          <w:lang w:val="el-GR"/>
        </w:rPr>
        <w:t>30</w:t>
      </w:r>
      <w:r w:rsidR="005D300B" w:rsidRPr="00417108">
        <w:rPr>
          <w:lang w:val="en-US"/>
        </w:rPr>
        <w:t>Ni</w:t>
      </w:r>
      <w:r w:rsidR="005D300B" w:rsidRPr="005D300B">
        <w:rPr>
          <w:lang w:val="el-GR"/>
        </w:rPr>
        <w:t>(</w:t>
      </w:r>
      <w:r w:rsidR="005D300B" w:rsidRPr="00417108">
        <w:rPr>
          <w:lang w:val="en-US"/>
        </w:rPr>
        <w:t>NO</w:t>
      </w:r>
      <w:r w:rsidR="005D300B" w:rsidRPr="005D300B">
        <w:rPr>
          <w:vertAlign w:val="subscript"/>
          <w:lang w:val="el-GR"/>
        </w:rPr>
        <w:t>3</w:t>
      </w:r>
      <w:r w:rsidR="005D300B" w:rsidRPr="005D300B">
        <w:rPr>
          <w:lang w:val="el-GR"/>
        </w:rPr>
        <w:t>)</w:t>
      </w:r>
      <w:r w:rsidR="005D300B" w:rsidRPr="005D300B">
        <w:rPr>
          <w:vertAlign w:val="subscript"/>
          <w:lang w:val="el-GR"/>
        </w:rPr>
        <w:t>2</w:t>
      </w:r>
      <w:proofErr w:type="spellStart"/>
      <w:r w:rsidR="005D300B" w:rsidRPr="00417108">
        <w:rPr>
          <w:lang w:val="en-US"/>
        </w:rPr>
        <w:t>SiO</w:t>
      </w:r>
      <w:proofErr w:type="spellEnd"/>
      <w:r w:rsidR="005D300B" w:rsidRPr="005D300B">
        <w:rPr>
          <w:vertAlign w:val="subscript"/>
          <w:lang w:val="el-GR"/>
        </w:rPr>
        <w:t>2</w:t>
      </w:r>
      <w:r w:rsidR="005D300B">
        <w:rPr>
          <w:lang w:val="el-GR"/>
        </w:rPr>
        <w:t>, 5</w:t>
      </w:r>
      <w:r w:rsidR="005D300B" w:rsidRPr="005D300B">
        <w:rPr>
          <w:lang w:val="el-GR"/>
        </w:rPr>
        <w:t>0</w:t>
      </w:r>
      <w:r w:rsidR="005D300B" w:rsidRPr="00417108">
        <w:rPr>
          <w:lang w:val="en-US"/>
        </w:rPr>
        <w:t>Ni</w:t>
      </w:r>
      <w:r w:rsidR="005D300B" w:rsidRPr="005D300B">
        <w:rPr>
          <w:lang w:val="el-GR"/>
        </w:rPr>
        <w:t>(</w:t>
      </w:r>
      <w:r w:rsidR="005D300B" w:rsidRPr="00417108">
        <w:rPr>
          <w:lang w:val="en-US"/>
        </w:rPr>
        <w:t>NO</w:t>
      </w:r>
      <w:r w:rsidR="005D300B" w:rsidRPr="005D300B">
        <w:rPr>
          <w:vertAlign w:val="subscript"/>
          <w:lang w:val="el-GR"/>
        </w:rPr>
        <w:t>3</w:t>
      </w:r>
      <w:r w:rsidR="005D300B" w:rsidRPr="005D300B">
        <w:rPr>
          <w:lang w:val="el-GR"/>
        </w:rPr>
        <w:t>)</w:t>
      </w:r>
      <w:r w:rsidR="005D300B" w:rsidRPr="005D300B">
        <w:rPr>
          <w:vertAlign w:val="subscript"/>
          <w:lang w:val="el-GR"/>
        </w:rPr>
        <w:t>2</w:t>
      </w:r>
      <w:proofErr w:type="spellStart"/>
      <w:r w:rsidR="005D300B" w:rsidRPr="00417108">
        <w:rPr>
          <w:lang w:val="en-US"/>
        </w:rPr>
        <w:t>SiO</w:t>
      </w:r>
      <w:proofErr w:type="spellEnd"/>
      <w:r w:rsidR="005D300B" w:rsidRPr="005D300B">
        <w:rPr>
          <w:vertAlign w:val="subscript"/>
          <w:lang w:val="el-GR"/>
        </w:rPr>
        <w:t>2</w:t>
      </w:r>
      <w:r w:rsidR="005D300B">
        <w:rPr>
          <w:lang w:val="el-GR"/>
        </w:rPr>
        <w:t xml:space="preserve">, </w:t>
      </w:r>
      <w:r w:rsidRPr="005D1154">
        <w:rPr>
          <w:lang w:val="el-GR"/>
        </w:rPr>
        <w:t>30</w:t>
      </w:r>
      <w:r w:rsidRPr="00417108">
        <w:rPr>
          <w:lang w:val="en-US"/>
        </w:rPr>
        <w:t>Ni</w:t>
      </w:r>
      <w:r w:rsidRPr="005D1154">
        <w:rPr>
          <w:lang w:val="el-GR"/>
        </w:rPr>
        <w:t>(</w:t>
      </w:r>
      <w:r w:rsidRPr="00417108">
        <w:rPr>
          <w:lang w:val="en-US"/>
        </w:rPr>
        <w:t>en</w:t>
      </w:r>
      <w:r w:rsidRPr="005D1154">
        <w:rPr>
          <w:lang w:val="el-GR"/>
        </w:rPr>
        <w:t>)</w:t>
      </w:r>
      <w:r w:rsidRPr="005D1154">
        <w:rPr>
          <w:vertAlign w:val="subscript"/>
          <w:lang w:val="el-GR"/>
        </w:rPr>
        <w:t>3</w:t>
      </w:r>
      <w:proofErr w:type="spellStart"/>
      <w:r w:rsidRPr="00417108">
        <w:rPr>
          <w:lang w:val="en-US"/>
        </w:rPr>
        <w:t>SiO</w:t>
      </w:r>
      <w:proofErr w:type="spellEnd"/>
      <w:r w:rsidRPr="005D1154">
        <w:rPr>
          <w:vertAlign w:val="subscript"/>
          <w:lang w:val="el-GR"/>
        </w:rPr>
        <w:t>2</w:t>
      </w:r>
      <w:r w:rsidR="005D300B">
        <w:rPr>
          <w:lang w:val="el-GR"/>
        </w:rPr>
        <w:t>, 5</w:t>
      </w:r>
      <w:r w:rsidR="005D300B" w:rsidRPr="005D1154">
        <w:rPr>
          <w:lang w:val="el-GR"/>
        </w:rPr>
        <w:t>0</w:t>
      </w:r>
      <w:r w:rsidR="005D300B" w:rsidRPr="00417108">
        <w:rPr>
          <w:lang w:val="en-US"/>
        </w:rPr>
        <w:t>Ni</w:t>
      </w:r>
      <w:r w:rsidR="005D300B" w:rsidRPr="005D1154">
        <w:rPr>
          <w:lang w:val="el-GR"/>
        </w:rPr>
        <w:t>(</w:t>
      </w:r>
      <w:r w:rsidR="005D300B" w:rsidRPr="00417108">
        <w:rPr>
          <w:lang w:val="en-US"/>
        </w:rPr>
        <w:t>en</w:t>
      </w:r>
      <w:r w:rsidR="005D300B" w:rsidRPr="005D1154">
        <w:rPr>
          <w:lang w:val="el-GR"/>
        </w:rPr>
        <w:t>)</w:t>
      </w:r>
      <w:r w:rsidR="005D300B" w:rsidRPr="005D1154">
        <w:rPr>
          <w:vertAlign w:val="subscript"/>
          <w:lang w:val="el-GR"/>
        </w:rPr>
        <w:t>3</w:t>
      </w:r>
      <w:proofErr w:type="spellStart"/>
      <w:r w:rsidR="005D300B" w:rsidRPr="00417108">
        <w:rPr>
          <w:lang w:val="en-US"/>
        </w:rPr>
        <w:t>SiO</w:t>
      </w:r>
      <w:proofErr w:type="spellEnd"/>
      <w:r w:rsidR="005D300B" w:rsidRPr="005D1154">
        <w:rPr>
          <w:vertAlign w:val="subscript"/>
          <w:lang w:val="el-GR"/>
        </w:rPr>
        <w:t>2</w:t>
      </w:r>
      <w:r w:rsidR="005D300B">
        <w:rPr>
          <w:lang w:val="el-GR"/>
        </w:rPr>
        <w:t xml:space="preserve">, </w:t>
      </w:r>
      <w:r w:rsidRPr="005D1154">
        <w:rPr>
          <w:lang w:val="el-GR"/>
        </w:rPr>
        <w:t>που μελετή</w:t>
      </w:r>
      <w:r w:rsidR="005D300B">
        <w:rPr>
          <w:lang w:val="el-GR"/>
        </w:rPr>
        <w:t>θηκαν υπό τις συνθήκες αντίδρασή</w:t>
      </w:r>
      <w:r w:rsidRPr="005D1154">
        <w:rPr>
          <w:lang w:val="el-GR"/>
        </w:rPr>
        <w:t>ς μ</w:t>
      </w:r>
      <w:r w:rsidR="005D300B">
        <w:rPr>
          <w:lang w:val="el-GR"/>
        </w:rPr>
        <w:t>ας</w:t>
      </w:r>
      <w:r w:rsidR="00ED6158">
        <w:rPr>
          <w:lang w:val="el-GR"/>
        </w:rPr>
        <w:t>,</w:t>
      </w:r>
      <w:r w:rsidR="005D300B">
        <w:rPr>
          <w:lang w:val="el-GR"/>
        </w:rPr>
        <w:t xml:space="preserve"> στο μέγιστο χρόνο αντίδρασης των 10 ωρών</w:t>
      </w:r>
      <w:r w:rsidRPr="005D1154">
        <w:rPr>
          <w:lang w:val="el-GR"/>
        </w:rPr>
        <w:t xml:space="preserve">. </w:t>
      </w:r>
      <w:r w:rsidR="005D300B">
        <w:rPr>
          <w:lang w:val="el-GR"/>
        </w:rPr>
        <w:t xml:space="preserve">Τα αποτελέσματα δείχνουν ότι οι καταλύτες που παρασκευάστηκαν με τη χρήση του </w:t>
      </w:r>
      <w:proofErr w:type="spellStart"/>
      <w:r w:rsidR="005D300B">
        <w:rPr>
          <w:lang w:val="el-GR"/>
        </w:rPr>
        <w:t>συμπλόκου</w:t>
      </w:r>
      <w:proofErr w:type="spellEnd"/>
      <w:r w:rsidR="005D300B">
        <w:rPr>
          <w:lang w:val="el-GR"/>
        </w:rPr>
        <w:t xml:space="preserve"> </w:t>
      </w:r>
      <w:r w:rsidR="005D300B" w:rsidRPr="00417108">
        <w:rPr>
          <w:lang w:val="el-GR"/>
        </w:rPr>
        <w:t>[</w:t>
      </w:r>
      <w:r w:rsidR="005D300B" w:rsidRPr="00417108">
        <w:t>Ni</w:t>
      </w:r>
      <w:r w:rsidR="005D300B" w:rsidRPr="00417108">
        <w:rPr>
          <w:lang w:val="el-GR"/>
        </w:rPr>
        <w:t>(</w:t>
      </w:r>
      <w:r w:rsidR="005D300B" w:rsidRPr="00417108">
        <w:t>en</w:t>
      </w:r>
      <w:r w:rsidR="005D300B" w:rsidRPr="00417108">
        <w:rPr>
          <w:lang w:val="el-GR"/>
        </w:rPr>
        <w:t>)</w:t>
      </w:r>
      <w:r w:rsidR="005D300B" w:rsidRPr="00417108">
        <w:rPr>
          <w:vertAlign w:val="subscript"/>
          <w:lang w:val="el-GR"/>
        </w:rPr>
        <w:t>3</w:t>
      </w:r>
      <w:r w:rsidR="005D300B" w:rsidRPr="00417108">
        <w:rPr>
          <w:lang w:val="el-GR"/>
        </w:rPr>
        <w:t>]</w:t>
      </w:r>
      <w:r w:rsidR="005D300B" w:rsidRPr="00417108">
        <w:rPr>
          <w:vertAlign w:val="superscript"/>
          <w:lang w:val="el-GR"/>
        </w:rPr>
        <w:t>2+</w:t>
      </w:r>
      <w:r w:rsidR="005D300B">
        <w:rPr>
          <w:lang w:val="el-GR"/>
        </w:rPr>
        <w:t xml:space="preserve"> εμφανίζονται πιο αποτελεσματικοί από τους αντίστοιχους που παρασκευάστηκαν με τη χρήση του υδατικού </w:t>
      </w:r>
      <w:proofErr w:type="spellStart"/>
      <w:r w:rsidR="005D300B">
        <w:rPr>
          <w:lang w:val="el-GR"/>
        </w:rPr>
        <w:t>συμπλόκου</w:t>
      </w:r>
      <w:proofErr w:type="spellEnd"/>
      <w:r w:rsidR="005D300B">
        <w:rPr>
          <w:lang w:val="el-GR"/>
        </w:rPr>
        <w:t xml:space="preserve"> </w:t>
      </w:r>
      <w:r w:rsidR="005D300B" w:rsidRPr="00417108">
        <w:rPr>
          <w:lang w:val="el-GR"/>
        </w:rPr>
        <w:t>[</w:t>
      </w:r>
      <w:r w:rsidR="005D300B" w:rsidRPr="00417108">
        <w:t>Ni</w:t>
      </w:r>
      <w:r w:rsidR="005D300B" w:rsidRPr="00417108">
        <w:rPr>
          <w:lang w:val="el-GR"/>
        </w:rPr>
        <w:t>(</w:t>
      </w:r>
      <w:r w:rsidR="005D300B" w:rsidRPr="00417108">
        <w:t>H</w:t>
      </w:r>
      <w:r w:rsidR="005D300B" w:rsidRPr="00417108">
        <w:rPr>
          <w:vertAlign w:val="subscript"/>
          <w:lang w:val="el-GR"/>
        </w:rPr>
        <w:t>2</w:t>
      </w:r>
      <w:r w:rsidR="005D300B" w:rsidRPr="00417108">
        <w:t>O</w:t>
      </w:r>
      <w:r w:rsidR="005D300B" w:rsidRPr="00417108">
        <w:rPr>
          <w:lang w:val="el-GR"/>
        </w:rPr>
        <w:t>)</w:t>
      </w:r>
      <w:r w:rsidR="005D300B" w:rsidRPr="00417108">
        <w:rPr>
          <w:vertAlign w:val="subscript"/>
          <w:lang w:val="el-GR"/>
        </w:rPr>
        <w:t>6</w:t>
      </w:r>
      <w:r w:rsidR="005D300B" w:rsidRPr="00417108">
        <w:rPr>
          <w:lang w:val="el-GR"/>
        </w:rPr>
        <w:t>]</w:t>
      </w:r>
      <w:r w:rsidR="005D300B" w:rsidRPr="00417108">
        <w:rPr>
          <w:vertAlign w:val="superscript"/>
          <w:lang w:val="el-GR"/>
        </w:rPr>
        <w:t>2+</w:t>
      </w:r>
      <w:r w:rsidR="005D300B">
        <w:rPr>
          <w:lang w:val="el-GR"/>
        </w:rPr>
        <w:t xml:space="preserve"> που συνήθως χρησιμοποιείται. </w:t>
      </w:r>
      <w:r w:rsidR="0049253A">
        <w:rPr>
          <w:lang w:val="el-GR"/>
        </w:rPr>
        <w:t xml:space="preserve">Τα αποτελέσματα αυτά είναι σε πλήρη συμφωνία με τα αποτελέσματα του χαρακτηρισμού υφής των καταλυτών (Πίνακας 1), τα οποία μας έδειξαν παραπάνω ότι οι καταλύτες </w:t>
      </w:r>
      <w:r w:rsidR="00794F40" w:rsidRPr="00417108">
        <w:rPr>
          <w:lang w:val="en-US"/>
        </w:rPr>
        <w:t>Ni</w:t>
      </w:r>
      <w:r w:rsidR="00794F40" w:rsidRPr="005D1154">
        <w:rPr>
          <w:lang w:val="el-GR"/>
        </w:rPr>
        <w:t>(</w:t>
      </w:r>
      <w:r w:rsidR="00794F40" w:rsidRPr="00417108">
        <w:rPr>
          <w:lang w:val="en-US"/>
        </w:rPr>
        <w:t>en</w:t>
      </w:r>
      <w:r w:rsidR="00794F40" w:rsidRPr="005D1154">
        <w:rPr>
          <w:lang w:val="el-GR"/>
        </w:rPr>
        <w:t>)</w:t>
      </w:r>
      <w:r w:rsidR="00794F40" w:rsidRPr="005D1154">
        <w:rPr>
          <w:vertAlign w:val="subscript"/>
          <w:lang w:val="el-GR"/>
        </w:rPr>
        <w:t>3</w:t>
      </w:r>
      <w:proofErr w:type="spellStart"/>
      <w:r w:rsidR="00794F40" w:rsidRPr="00417108">
        <w:rPr>
          <w:lang w:val="en-US"/>
        </w:rPr>
        <w:t>SiO</w:t>
      </w:r>
      <w:proofErr w:type="spellEnd"/>
      <w:r w:rsidR="00794F40" w:rsidRPr="005D1154">
        <w:rPr>
          <w:vertAlign w:val="subscript"/>
          <w:lang w:val="el-GR"/>
        </w:rPr>
        <w:t>2</w:t>
      </w:r>
      <w:r w:rsidR="0049253A">
        <w:rPr>
          <w:lang w:val="el-GR"/>
        </w:rPr>
        <w:t xml:space="preserve"> εμφανίζουν μεγαλύτερη ειδική επιφάνεια και μάλλον καλύτερη διασπορά της δραστικής φάσης, σε σχέση με τους καταλύτες </w:t>
      </w:r>
      <w:r w:rsidR="0049253A" w:rsidRPr="00417108">
        <w:rPr>
          <w:lang w:val="en-US"/>
        </w:rPr>
        <w:t>Ni</w:t>
      </w:r>
      <w:r w:rsidR="0049253A" w:rsidRPr="005D300B">
        <w:rPr>
          <w:lang w:val="el-GR"/>
        </w:rPr>
        <w:t>(</w:t>
      </w:r>
      <w:r w:rsidR="0049253A" w:rsidRPr="00417108">
        <w:rPr>
          <w:lang w:val="en-US"/>
        </w:rPr>
        <w:t>NO</w:t>
      </w:r>
      <w:r w:rsidR="0049253A" w:rsidRPr="005D300B">
        <w:rPr>
          <w:vertAlign w:val="subscript"/>
          <w:lang w:val="el-GR"/>
        </w:rPr>
        <w:t>3</w:t>
      </w:r>
      <w:r w:rsidR="0049253A" w:rsidRPr="005D300B">
        <w:rPr>
          <w:lang w:val="el-GR"/>
        </w:rPr>
        <w:t>)</w:t>
      </w:r>
      <w:r w:rsidR="0049253A" w:rsidRPr="005D300B">
        <w:rPr>
          <w:vertAlign w:val="subscript"/>
          <w:lang w:val="el-GR"/>
        </w:rPr>
        <w:t>2</w:t>
      </w:r>
      <w:proofErr w:type="spellStart"/>
      <w:r w:rsidR="0049253A" w:rsidRPr="00417108">
        <w:rPr>
          <w:lang w:val="en-US"/>
        </w:rPr>
        <w:t>SiO</w:t>
      </w:r>
      <w:proofErr w:type="spellEnd"/>
      <w:r w:rsidR="0049253A" w:rsidRPr="005D300B">
        <w:rPr>
          <w:vertAlign w:val="subscript"/>
          <w:lang w:val="el-GR"/>
        </w:rPr>
        <w:t>2</w:t>
      </w:r>
      <w:r w:rsidR="00E45CEE">
        <w:rPr>
          <w:lang w:val="el-GR"/>
        </w:rPr>
        <w:t>.</w:t>
      </w:r>
    </w:p>
    <w:p w:rsidR="00E45CEE" w:rsidRDefault="00E45CEE" w:rsidP="00EA051A">
      <w:pPr>
        <w:tabs>
          <w:tab w:val="num" w:pos="720"/>
        </w:tabs>
        <w:ind w:right="-58"/>
        <w:jc w:val="both"/>
        <w:rPr>
          <w:lang w:val="el-GR"/>
        </w:rPr>
      </w:pPr>
    </w:p>
    <w:p w:rsidR="00E45CEE" w:rsidRPr="00E45CEE" w:rsidRDefault="002877D2" w:rsidP="00EA051A">
      <w:pPr>
        <w:tabs>
          <w:tab w:val="num" w:pos="720"/>
        </w:tabs>
        <w:ind w:right="-58"/>
        <w:jc w:val="both"/>
        <w:rPr>
          <w:lang w:val="en-US"/>
        </w:rPr>
      </w:pPr>
      <w:r w:rsidRPr="002877D2">
        <w:rPr>
          <w:noProof/>
          <w:lang w:val="el-GR" w:eastAsia="el-GR"/>
        </w:rPr>
        <w:drawing>
          <wp:inline distT="0" distB="0" distL="0" distR="0">
            <wp:extent cx="5486400" cy="312420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486400" cy="3124200"/>
                    </a:xfrm>
                    <a:prstGeom prst="rect">
                      <a:avLst/>
                    </a:prstGeom>
                    <a:noFill/>
                    <a:ln w="9525">
                      <a:noFill/>
                      <a:miter lim="800000"/>
                      <a:headEnd/>
                      <a:tailEnd/>
                    </a:ln>
                  </pic:spPr>
                </pic:pic>
              </a:graphicData>
            </a:graphic>
          </wp:inline>
        </w:drawing>
      </w:r>
    </w:p>
    <w:p w:rsidR="00E45CEE" w:rsidRPr="00E45CEE" w:rsidRDefault="00E45CEE" w:rsidP="00EA051A">
      <w:pPr>
        <w:tabs>
          <w:tab w:val="num" w:pos="720"/>
        </w:tabs>
        <w:ind w:right="-58"/>
        <w:jc w:val="both"/>
        <w:rPr>
          <w:lang w:val="el-GR"/>
        </w:rPr>
      </w:pPr>
      <w:r w:rsidRPr="00E45CEE">
        <w:rPr>
          <w:b/>
          <w:lang w:val="el-GR"/>
        </w:rPr>
        <w:t xml:space="preserve">Σχήμα </w:t>
      </w:r>
      <w:r w:rsidR="00BD710D">
        <w:rPr>
          <w:b/>
          <w:lang w:val="el-GR"/>
        </w:rPr>
        <w:t>4</w:t>
      </w:r>
      <w:r>
        <w:rPr>
          <w:lang w:val="el-GR"/>
        </w:rPr>
        <w:t>. Μετατροπή και απόδοση</w:t>
      </w:r>
      <w:r w:rsidRPr="005D1154">
        <w:rPr>
          <w:lang w:val="el-GR"/>
        </w:rPr>
        <w:t xml:space="preserve"> ηλιέλαιου σε υδρογονάνθρακες</w:t>
      </w:r>
      <w:r>
        <w:rPr>
          <w:lang w:val="el-GR"/>
        </w:rPr>
        <w:t xml:space="preserve">, παρουσία των καταλυτών </w:t>
      </w:r>
      <w:r w:rsidRPr="005D300B">
        <w:rPr>
          <w:lang w:val="el-GR"/>
        </w:rPr>
        <w:t>30</w:t>
      </w:r>
      <w:r w:rsidRPr="00417108">
        <w:rPr>
          <w:lang w:val="en-US"/>
        </w:rPr>
        <w:t>Ni</w:t>
      </w:r>
      <w:r w:rsidRPr="005D300B">
        <w:rPr>
          <w:lang w:val="el-GR"/>
        </w:rPr>
        <w:t>(</w:t>
      </w:r>
      <w:r w:rsidRPr="00417108">
        <w:rPr>
          <w:lang w:val="en-US"/>
        </w:rPr>
        <w:t>NO</w:t>
      </w:r>
      <w:r w:rsidRPr="005D300B">
        <w:rPr>
          <w:vertAlign w:val="subscript"/>
          <w:lang w:val="el-GR"/>
        </w:rPr>
        <w:t>3</w:t>
      </w:r>
      <w:r w:rsidRPr="005D300B">
        <w:rPr>
          <w:lang w:val="el-GR"/>
        </w:rPr>
        <w:t>)</w:t>
      </w:r>
      <w:r w:rsidRPr="005D300B">
        <w:rPr>
          <w:vertAlign w:val="subscript"/>
          <w:lang w:val="el-GR"/>
        </w:rPr>
        <w:t>2</w:t>
      </w:r>
      <w:proofErr w:type="spellStart"/>
      <w:r w:rsidRPr="00417108">
        <w:rPr>
          <w:lang w:val="en-US"/>
        </w:rPr>
        <w:t>SiO</w:t>
      </w:r>
      <w:proofErr w:type="spellEnd"/>
      <w:r w:rsidRPr="005D300B">
        <w:rPr>
          <w:vertAlign w:val="subscript"/>
          <w:lang w:val="el-GR"/>
        </w:rPr>
        <w:t>2</w:t>
      </w:r>
      <w:r>
        <w:rPr>
          <w:lang w:val="el-GR"/>
        </w:rPr>
        <w:t>, 5</w:t>
      </w:r>
      <w:r w:rsidRPr="005D300B">
        <w:rPr>
          <w:lang w:val="el-GR"/>
        </w:rPr>
        <w:t>0</w:t>
      </w:r>
      <w:r w:rsidRPr="00417108">
        <w:rPr>
          <w:lang w:val="en-US"/>
        </w:rPr>
        <w:t>Ni</w:t>
      </w:r>
      <w:r w:rsidRPr="005D300B">
        <w:rPr>
          <w:lang w:val="el-GR"/>
        </w:rPr>
        <w:t>(</w:t>
      </w:r>
      <w:r w:rsidRPr="00417108">
        <w:rPr>
          <w:lang w:val="en-US"/>
        </w:rPr>
        <w:t>NO</w:t>
      </w:r>
      <w:r w:rsidRPr="005D300B">
        <w:rPr>
          <w:vertAlign w:val="subscript"/>
          <w:lang w:val="el-GR"/>
        </w:rPr>
        <w:t>3</w:t>
      </w:r>
      <w:r w:rsidRPr="005D300B">
        <w:rPr>
          <w:lang w:val="el-GR"/>
        </w:rPr>
        <w:t>)</w:t>
      </w:r>
      <w:r w:rsidRPr="005D300B">
        <w:rPr>
          <w:vertAlign w:val="subscript"/>
          <w:lang w:val="el-GR"/>
        </w:rPr>
        <w:t>2</w:t>
      </w:r>
      <w:proofErr w:type="spellStart"/>
      <w:r w:rsidRPr="00417108">
        <w:rPr>
          <w:lang w:val="en-US"/>
        </w:rPr>
        <w:t>SiO</w:t>
      </w:r>
      <w:proofErr w:type="spellEnd"/>
      <w:r w:rsidRPr="005D300B">
        <w:rPr>
          <w:vertAlign w:val="subscript"/>
          <w:lang w:val="el-GR"/>
        </w:rPr>
        <w:t>2</w:t>
      </w:r>
      <w:r>
        <w:rPr>
          <w:lang w:val="el-GR"/>
        </w:rPr>
        <w:t xml:space="preserve">, </w:t>
      </w:r>
      <w:r w:rsidRPr="005D1154">
        <w:rPr>
          <w:lang w:val="el-GR"/>
        </w:rPr>
        <w:t>30</w:t>
      </w:r>
      <w:r w:rsidRPr="00417108">
        <w:rPr>
          <w:lang w:val="en-US"/>
        </w:rPr>
        <w:t>Ni</w:t>
      </w:r>
      <w:r w:rsidRPr="005D1154">
        <w:rPr>
          <w:lang w:val="el-GR"/>
        </w:rPr>
        <w:t>(</w:t>
      </w:r>
      <w:r w:rsidRPr="00417108">
        <w:rPr>
          <w:lang w:val="en-US"/>
        </w:rPr>
        <w:t>en</w:t>
      </w:r>
      <w:r w:rsidRPr="005D1154">
        <w:rPr>
          <w:lang w:val="el-GR"/>
        </w:rPr>
        <w:t>)</w:t>
      </w:r>
      <w:r w:rsidRPr="005D1154">
        <w:rPr>
          <w:vertAlign w:val="subscript"/>
          <w:lang w:val="el-GR"/>
        </w:rPr>
        <w:t>3</w:t>
      </w:r>
      <w:proofErr w:type="spellStart"/>
      <w:r w:rsidRPr="00417108">
        <w:rPr>
          <w:lang w:val="en-US"/>
        </w:rPr>
        <w:t>SiO</w:t>
      </w:r>
      <w:proofErr w:type="spellEnd"/>
      <w:r w:rsidRPr="005D1154">
        <w:rPr>
          <w:vertAlign w:val="subscript"/>
          <w:lang w:val="el-GR"/>
        </w:rPr>
        <w:t>2</w:t>
      </w:r>
      <w:r>
        <w:rPr>
          <w:lang w:val="el-GR"/>
        </w:rPr>
        <w:t xml:space="preserve"> και 5</w:t>
      </w:r>
      <w:r w:rsidRPr="005D1154">
        <w:rPr>
          <w:lang w:val="el-GR"/>
        </w:rPr>
        <w:t>0</w:t>
      </w:r>
      <w:r w:rsidRPr="00417108">
        <w:rPr>
          <w:lang w:val="en-US"/>
        </w:rPr>
        <w:t>Ni</w:t>
      </w:r>
      <w:r w:rsidRPr="005D1154">
        <w:rPr>
          <w:lang w:val="el-GR"/>
        </w:rPr>
        <w:t>(</w:t>
      </w:r>
      <w:r w:rsidRPr="00417108">
        <w:rPr>
          <w:lang w:val="en-US"/>
        </w:rPr>
        <w:t>en</w:t>
      </w:r>
      <w:r w:rsidRPr="005D1154">
        <w:rPr>
          <w:lang w:val="el-GR"/>
        </w:rPr>
        <w:t>)</w:t>
      </w:r>
      <w:r w:rsidRPr="005D1154">
        <w:rPr>
          <w:vertAlign w:val="subscript"/>
          <w:lang w:val="el-GR"/>
        </w:rPr>
        <w:t>3</w:t>
      </w:r>
      <w:proofErr w:type="spellStart"/>
      <w:r w:rsidRPr="00417108">
        <w:rPr>
          <w:lang w:val="en-US"/>
        </w:rPr>
        <w:t>SiO</w:t>
      </w:r>
      <w:proofErr w:type="spellEnd"/>
      <w:r w:rsidRPr="005D1154">
        <w:rPr>
          <w:vertAlign w:val="subscript"/>
          <w:lang w:val="el-GR"/>
        </w:rPr>
        <w:t>2</w:t>
      </w:r>
      <w:r>
        <w:rPr>
          <w:lang w:val="el-GR"/>
        </w:rPr>
        <w:t xml:space="preserve">, μετά από 10 </w:t>
      </w:r>
      <w:r>
        <w:rPr>
          <w:lang w:val="en-US"/>
        </w:rPr>
        <w:t>h</w:t>
      </w:r>
      <w:r>
        <w:rPr>
          <w:lang w:val="el-GR"/>
        </w:rPr>
        <w:t xml:space="preserve"> αντίδρασης.</w:t>
      </w:r>
    </w:p>
    <w:p w:rsidR="00E45CEE" w:rsidRDefault="00E45CEE" w:rsidP="00EA051A">
      <w:pPr>
        <w:tabs>
          <w:tab w:val="num" w:pos="720"/>
        </w:tabs>
        <w:ind w:right="-58"/>
        <w:jc w:val="both"/>
        <w:rPr>
          <w:lang w:val="el-GR"/>
        </w:rPr>
      </w:pPr>
    </w:p>
    <w:p w:rsidR="00B4415A" w:rsidRDefault="00E45CEE" w:rsidP="00EA051A">
      <w:pPr>
        <w:tabs>
          <w:tab w:val="num" w:pos="720"/>
        </w:tabs>
        <w:ind w:right="-58"/>
        <w:jc w:val="both"/>
        <w:rPr>
          <w:color w:val="222222"/>
          <w:lang w:val="el-GR"/>
        </w:rPr>
      </w:pPr>
      <w:r>
        <w:rPr>
          <w:lang w:val="el-GR"/>
        </w:rPr>
        <w:tab/>
      </w:r>
      <w:r w:rsidR="005D300B">
        <w:rPr>
          <w:lang w:val="el-GR"/>
        </w:rPr>
        <w:t xml:space="preserve">Τα ευρήματα αυτά μας οδήγησαν στη συνέχεια στη σύνθεση και αξιολόγηση μιας σειράς καταλυτών </w:t>
      </w:r>
      <w:r w:rsidR="0049253A">
        <w:rPr>
          <w:lang w:val="el-GR"/>
        </w:rPr>
        <w:t xml:space="preserve">με χρήση του </w:t>
      </w:r>
      <w:proofErr w:type="spellStart"/>
      <w:r w:rsidR="0049253A">
        <w:rPr>
          <w:lang w:val="el-GR"/>
        </w:rPr>
        <w:t>συμπλόκου</w:t>
      </w:r>
      <w:proofErr w:type="spellEnd"/>
      <w:r w:rsidR="0049253A">
        <w:rPr>
          <w:lang w:val="el-GR"/>
        </w:rPr>
        <w:t xml:space="preserve"> </w:t>
      </w:r>
      <w:r w:rsidR="00794F40" w:rsidRPr="00417108">
        <w:rPr>
          <w:lang w:val="el-GR"/>
        </w:rPr>
        <w:t>[</w:t>
      </w:r>
      <w:r w:rsidR="00794F40" w:rsidRPr="00417108">
        <w:t>Ni</w:t>
      </w:r>
      <w:r w:rsidR="00794F40" w:rsidRPr="00417108">
        <w:rPr>
          <w:lang w:val="el-GR"/>
        </w:rPr>
        <w:t>(</w:t>
      </w:r>
      <w:r w:rsidR="00794F40" w:rsidRPr="00417108">
        <w:t>en</w:t>
      </w:r>
      <w:r w:rsidR="00794F40" w:rsidRPr="00417108">
        <w:rPr>
          <w:lang w:val="el-GR"/>
        </w:rPr>
        <w:t>)</w:t>
      </w:r>
      <w:r w:rsidR="00794F40" w:rsidRPr="00417108">
        <w:rPr>
          <w:vertAlign w:val="subscript"/>
          <w:lang w:val="el-GR"/>
        </w:rPr>
        <w:t>3</w:t>
      </w:r>
      <w:r w:rsidR="00794F40" w:rsidRPr="00417108">
        <w:rPr>
          <w:lang w:val="el-GR"/>
        </w:rPr>
        <w:t>]</w:t>
      </w:r>
      <w:r w:rsidR="00794F40" w:rsidRPr="00417108">
        <w:rPr>
          <w:vertAlign w:val="superscript"/>
          <w:lang w:val="el-GR"/>
        </w:rPr>
        <w:t>2+</w:t>
      </w:r>
      <w:r w:rsidR="00794F40" w:rsidRPr="00794F40">
        <w:rPr>
          <w:lang w:val="el-GR"/>
        </w:rPr>
        <w:t xml:space="preserve">, </w:t>
      </w:r>
      <w:r w:rsidR="00794F40">
        <w:rPr>
          <w:lang w:val="el-GR"/>
        </w:rPr>
        <w:t xml:space="preserve">με διάφορα ποσοστά δραστικής φάσης, έτσι ώστε να βρεθεί ποιο είναι εκείνο το βέλτιστο ποσοστό </w:t>
      </w:r>
      <w:r w:rsidR="00794F40">
        <w:rPr>
          <w:lang w:val="en-US"/>
        </w:rPr>
        <w:t>Ni</w:t>
      </w:r>
      <w:r w:rsidR="00794F40">
        <w:rPr>
          <w:lang w:val="el-GR"/>
        </w:rPr>
        <w:t xml:space="preserve"> που δίνει την υψηλότερη αποτελεσματικότητα.</w:t>
      </w:r>
      <w:r w:rsidR="002877D2">
        <w:rPr>
          <w:lang w:val="el-GR"/>
        </w:rPr>
        <w:t xml:space="preserve"> Στο σ</w:t>
      </w:r>
      <w:r w:rsidR="002877D2" w:rsidRPr="005D1154">
        <w:rPr>
          <w:lang w:val="el-GR"/>
        </w:rPr>
        <w:t xml:space="preserve">χήμα </w:t>
      </w:r>
      <w:r w:rsidR="00BD710D">
        <w:rPr>
          <w:lang w:val="el-GR"/>
        </w:rPr>
        <w:t>5</w:t>
      </w:r>
      <w:r w:rsidR="002877D2" w:rsidRPr="005D1154">
        <w:rPr>
          <w:lang w:val="el-GR"/>
        </w:rPr>
        <w:t xml:space="preserve"> </w:t>
      </w:r>
      <w:r w:rsidR="002877D2">
        <w:rPr>
          <w:lang w:val="el-GR"/>
        </w:rPr>
        <w:t xml:space="preserve">δίνονται οι τιμές </w:t>
      </w:r>
      <w:r w:rsidR="002877D2" w:rsidRPr="005D1154">
        <w:rPr>
          <w:lang w:val="el-GR"/>
        </w:rPr>
        <w:t>μετατροπής και αποδόσεων ηλιέλαιου σε υδρογονάνθρακες</w:t>
      </w:r>
      <w:r w:rsidR="002877D2">
        <w:rPr>
          <w:lang w:val="el-GR"/>
        </w:rPr>
        <w:t>,</w:t>
      </w:r>
      <w:r w:rsidR="002877D2" w:rsidRPr="005D1154">
        <w:rPr>
          <w:lang w:val="el-GR"/>
        </w:rPr>
        <w:t xml:space="preserve"> που λαμβάνονται πάνω από </w:t>
      </w:r>
      <w:r w:rsidR="002877D2">
        <w:rPr>
          <w:lang w:val="el-GR"/>
        </w:rPr>
        <w:t xml:space="preserve">όλους </w:t>
      </w:r>
      <w:r w:rsidR="002877D2" w:rsidRPr="005D1154">
        <w:rPr>
          <w:lang w:val="el-GR"/>
        </w:rPr>
        <w:t xml:space="preserve">τους καταλύτες </w:t>
      </w:r>
      <w:r w:rsidR="002877D2">
        <w:rPr>
          <w:lang w:val="el-GR"/>
        </w:rPr>
        <w:t>της σειράς</w:t>
      </w:r>
      <w:r w:rsidR="002877D2" w:rsidRPr="002877D2">
        <w:rPr>
          <w:lang w:val="el-GR"/>
        </w:rPr>
        <w:t xml:space="preserve"> </w:t>
      </w:r>
      <w:proofErr w:type="spellStart"/>
      <w:r w:rsidR="002877D2">
        <w:rPr>
          <w:lang w:val="en-US"/>
        </w:rPr>
        <w:t>x</w:t>
      </w:r>
      <w:r w:rsidR="002877D2" w:rsidRPr="00417108">
        <w:rPr>
          <w:lang w:val="en-US"/>
        </w:rPr>
        <w:t>Ni</w:t>
      </w:r>
      <w:proofErr w:type="spellEnd"/>
      <w:r w:rsidR="002877D2" w:rsidRPr="005D1154">
        <w:rPr>
          <w:lang w:val="el-GR"/>
        </w:rPr>
        <w:t>(</w:t>
      </w:r>
      <w:r w:rsidR="002877D2" w:rsidRPr="00417108">
        <w:rPr>
          <w:lang w:val="en-US"/>
        </w:rPr>
        <w:t>en</w:t>
      </w:r>
      <w:r w:rsidR="002877D2" w:rsidRPr="005D1154">
        <w:rPr>
          <w:lang w:val="el-GR"/>
        </w:rPr>
        <w:t>)</w:t>
      </w:r>
      <w:r w:rsidR="002877D2" w:rsidRPr="005D1154">
        <w:rPr>
          <w:vertAlign w:val="subscript"/>
          <w:lang w:val="el-GR"/>
        </w:rPr>
        <w:t>3</w:t>
      </w:r>
      <w:proofErr w:type="spellStart"/>
      <w:r w:rsidR="002877D2" w:rsidRPr="00417108">
        <w:rPr>
          <w:lang w:val="en-US"/>
        </w:rPr>
        <w:t>SiO</w:t>
      </w:r>
      <w:proofErr w:type="spellEnd"/>
      <w:r w:rsidR="002877D2" w:rsidRPr="005D1154">
        <w:rPr>
          <w:vertAlign w:val="subscript"/>
          <w:lang w:val="el-GR"/>
        </w:rPr>
        <w:t>2</w:t>
      </w:r>
      <w:r w:rsidR="002877D2">
        <w:rPr>
          <w:lang w:val="el-GR"/>
        </w:rPr>
        <w:t xml:space="preserve">, </w:t>
      </w:r>
      <w:r w:rsidR="002877D2" w:rsidRPr="005D1154">
        <w:rPr>
          <w:lang w:val="el-GR"/>
        </w:rPr>
        <w:t>που μελετή</w:t>
      </w:r>
      <w:r w:rsidR="002877D2">
        <w:rPr>
          <w:lang w:val="el-GR"/>
        </w:rPr>
        <w:t>θηκαν υπό τις συνθήκες αντίδρασή</w:t>
      </w:r>
      <w:r w:rsidR="002877D2" w:rsidRPr="005D1154">
        <w:rPr>
          <w:lang w:val="el-GR"/>
        </w:rPr>
        <w:t>ς μ</w:t>
      </w:r>
      <w:r w:rsidR="002877D2">
        <w:rPr>
          <w:lang w:val="el-GR"/>
        </w:rPr>
        <w:t>ας στο μέγιστο χρόνο αντίδρασης των 10 ωρών</w:t>
      </w:r>
      <w:r w:rsidR="002877D2" w:rsidRPr="005D1154">
        <w:rPr>
          <w:lang w:val="el-GR"/>
        </w:rPr>
        <w:t>.</w:t>
      </w:r>
      <w:r w:rsidR="00BD710D" w:rsidRPr="00BD710D">
        <w:rPr>
          <w:lang w:val="el-GR"/>
        </w:rPr>
        <w:t xml:space="preserve"> </w:t>
      </w:r>
      <w:r w:rsidR="00BD710D">
        <w:rPr>
          <w:lang w:val="el-GR"/>
        </w:rPr>
        <w:t xml:space="preserve">Προσεχτική παρατήρηση του σχήματος </w:t>
      </w:r>
      <w:r w:rsidR="00BD710D" w:rsidRPr="005D1154">
        <w:rPr>
          <w:lang w:val="el-GR"/>
        </w:rPr>
        <w:t xml:space="preserve">δείχνει ότι το </w:t>
      </w:r>
      <w:proofErr w:type="spellStart"/>
      <w:r w:rsidR="00BD710D">
        <w:rPr>
          <w:lang w:val="en-US"/>
        </w:rPr>
        <w:t>SiO</w:t>
      </w:r>
      <w:proofErr w:type="spellEnd"/>
      <w:r w:rsidR="00BD710D" w:rsidRPr="00C04EC8">
        <w:rPr>
          <w:vertAlign w:val="subscript"/>
          <w:lang w:val="el-GR"/>
        </w:rPr>
        <w:t>2</w:t>
      </w:r>
      <w:r w:rsidR="00BD710D" w:rsidRPr="005D1154">
        <w:rPr>
          <w:lang w:val="el-GR"/>
        </w:rPr>
        <w:t xml:space="preserve"> είναι πρακτικά ανενεργό </w:t>
      </w:r>
      <w:r w:rsidR="00BD710D">
        <w:rPr>
          <w:lang w:val="el-GR"/>
        </w:rPr>
        <w:t>στην</w:t>
      </w:r>
      <w:r w:rsidR="00BD710D" w:rsidRPr="005D1154">
        <w:rPr>
          <w:lang w:val="el-GR"/>
        </w:rPr>
        <w:t xml:space="preserve"> παραγωγή πράσινου ντίζελ. Επιπλέον, δείχνει ότι η μετατροπή του </w:t>
      </w:r>
      <w:proofErr w:type="spellStart"/>
      <w:r w:rsidR="00BD710D">
        <w:rPr>
          <w:lang w:val="el-GR"/>
        </w:rPr>
        <w:t>ηλιε</w:t>
      </w:r>
      <w:r w:rsidR="00BD710D" w:rsidRPr="005D1154">
        <w:rPr>
          <w:lang w:val="el-GR"/>
        </w:rPr>
        <w:t>λαίου</w:t>
      </w:r>
      <w:proofErr w:type="spellEnd"/>
      <w:r w:rsidR="00BD710D" w:rsidRPr="005D1154">
        <w:rPr>
          <w:lang w:val="el-GR"/>
        </w:rPr>
        <w:t xml:space="preserve"> αυξάνεται σημαντικά με το </w:t>
      </w:r>
      <w:r w:rsidR="000E7213">
        <w:rPr>
          <w:lang w:val="el-GR"/>
        </w:rPr>
        <w:t>ποσοστό</w:t>
      </w:r>
      <w:r w:rsidR="00BD710D" w:rsidRPr="005D1154">
        <w:rPr>
          <w:lang w:val="el-GR"/>
        </w:rPr>
        <w:t xml:space="preserve"> του νικελίου μέχρι το δείγμα </w:t>
      </w:r>
      <w:r w:rsidR="00BD710D">
        <w:rPr>
          <w:lang w:val="el-GR"/>
        </w:rPr>
        <w:t>5</w:t>
      </w:r>
      <w:r w:rsidR="00BD710D" w:rsidRPr="005D1154">
        <w:rPr>
          <w:lang w:val="el-GR"/>
        </w:rPr>
        <w:t xml:space="preserve">0NiAl και στη </w:t>
      </w:r>
      <w:r w:rsidR="00BD710D" w:rsidRPr="000E7213">
        <w:rPr>
          <w:lang w:val="el-GR"/>
        </w:rPr>
        <w:t>συνέχεια μειώνεται. Η συνολική απόδοση σε υδρογονάνθρακες παρουσιάζει παρόμοια τάση.</w:t>
      </w:r>
      <w:r w:rsidR="000E7213" w:rsidRPr="000E7213">
        <w:rPr>
          <w:lang w:val="el-GR"/>
        </w:rPr>
        <w:t xml:space="preserve"> </w:t>
      </w:r>
      <w:r w:rsidR="000E7213" w:rsidRPr="000E7213">
        <w:rPr>
          <w:color w:val="222222"/>
          <w:lang w:val="el-GR"/>
        </w:rPr>
        <w:t xml:space="preserve">Η αρχική αύξηση φαίνεται να σχετίζεται με την αύξηση της φόρτισης σε </w:t>
      </w:r>
      <w:r w:rsidR="000E7213" w:rsidRPr="000E7213">
        <w:rPr>
          <w:color w:val="222222"/>
        </w:rPr>
        <w:t>Ni</w:t>
      </w:r>
      <w:r w:rsidR="000E7213" w:rsidRPr="000E7213">
        <w:rPr>
          <w:color w:val="222222"/>
          <w:lang w:val="el-GR"/>
        </w:rPr>
        <w:t xml:space="preserve">. Η ηφαιστειώδης μορφή μπορεί να αποδοθεί στο γεγονός ότι η αύξηση της φόρτισης σε </w:t>
      </w:r>
      <w:r w:rsidR="000E7213" w:rsidRPr="000E7213">
        <w:rPr>
          <w:color w:val="222222"/>
          <w:lang w:val="en-US"/>
        </w:rPr>
        <w:t>Ni</w:t>
      </w:r>
      <w:r w:rsidR="000E7213" w:rsidRPr="000E7213">
        <w:rPr>
          <w:color w:val="222222"/>
          <w:lang w:val="el-GR"/>
        </w:rPr>
        <w:t xml:space="preserve"> μειώνει την ειδική επιφάνεια του καταλύτη. Φαίνεται ότι ο καλύτερος συμβιβασμός μεταξύ αυτών των αντίθετων τάσεων προκύπτει στο δείγμα </w:t>
      </w:r>
      <w:r w:rsidR="000E7213" w:rsidRPr="000E7213">
        <w:rPr>
          <w:lang w:val="el-GR"/>
        </w:rPr>
        <w:t>50</w:t>
      </w:r>
      <w:r w:rsidR="000E7213" w:rsidRPr="000E7213">
        <w:rPr>
          <w:lang w:val="en-US"/>
        </w:rPr>
        <w:t>Ni</w:t>
      </w:r>
      <w:r w:rsidR="000E7213" w:rsidRPr="000E7213">
        <w:rPr>
          <w:lang w:val="el-GR"/>
        </w:rPr>
        <w:t>(</w:t>
      </w:r>
      <w:r w:rsidR="000E7213" w:rsidRPr="000E7213">
        <w:rPr>
          <w:lang w:val="en-US"/>
        </w:rPr>
        <w:t>en</w:t>
      </w:r>
      <w:r w:rsidR="000E7213" w:rsidRPr="000E7213">
        <w:rPr>
          <w:lang w:val="el-GR"/>
        </w:rPr>
        <w:t>)</w:t>
      </w:r>
      <w:r w:rsidR="000E7213" w:rsidRPr="000E7213">
        <w:rPr>
          <w:vertAlign w:val="subscript"/>
          <w:lang w:val="el-GR"/>
        </w:rPr>
        <w:t>3</w:t>
      </w:r>
      <w:proofErr w:type="spellStart"/>
      <w:r w:rsidR="000E7213" w:rsidRPr="000E7213">
        <w:rPr>
          <w:lang w:val="en-US"/>
        </w:rPr>
        <w:t>SiO</w:t>
      </w:r>
      <w:proofErr w:type="spellEnd"/>
      <w:r w:rsidR="000E7213" w:rsidRPr="000E7213">
        <w:rPr>
          <w:vertAlign w:val="subscript"/>
          <w:lang w:val="el-GR"/>
        </w:rPr>
        <w:t>2</w:t>
      </w:r>
      <w:r w:rsidR="000E7213" w:rsidRPr="000E7213">
        <w:rPr>
          <w:color w:val="222222"/>
          <w:lang w:val="el-GR"/>
        </w:rPr>
        <w:t>.</w:t>
      </w:r>
      <w:r w:rsidR="000E7213">
        <w:rPr>
          <w:color w:val="222222"/>
          <w:lang w:val="el-GR"/>
        </w:rPr>
        <w:t xml:space="preserve"> </w:t>
      </w:r>
      <w:r w:rsidR="00B4415A">
        <w:rPr>
          <w:color w:val="222222"/>
          <w:lang w:val="el-GR"/>
        </w:rPr>
        <w:t xml:space="preserve">Περισσότερος φυσικοχημικός </w:t>
      </w:r>
      <w:r w:rsidR="00B4415A">
        <w:rPr>
          <w:color w:val="222222"/>
          <w:lang w:val="el-GR"/>
        </w:rPr>
        <w:lastRenderedPageBreak/>
        <w:t>χαρακτηρισμός θα χρειαστεί βέβαια σε αυτό το σημείο για τον εντοπισμό της φύσης των δραστικών θέσεων των καταλυτών.</w:t>
      </w:r>
    </w:p>
    <w:p w:rsidR="00E45CEE" w:rsidRDefault="00B4415A" w:rsidP="00EA051A">
      <w:pPr>
        <w:tabs>
          <w:tab w:val="num" w:pos="720"/>
        </w:tabs>
        <w:ind w:right="-58"/>
        <w:jc w:val="both"/>
        <w:rPr>
          <w:lang w:val="el-GR"/>
        </w:rPr>
      </w:pPr>
      <w:r>
        <w:rPr>
          <w:color w:val="222222"/>
          <w:lang w:val="el-GR"/>
        </w:rPr>
        <w:tab/>
        <w:t>Άρα λοιπόν,</w:t>
      </w:r>
      <w:r w:rsidR="0069744D" w:rsidRPr="000E7213">
        <w:rPr>
          <w:lang w:val="el-GR"/>
        </w:rPr>
        <w:t xml:space="preserve"> ο καταλύτης</w:t>
      </w:r>
      <w:r w:rsidR="000E7213">
        <w:rPr>
          <w:lang w:val="el-GR"/>
        </w:rPr>
        <w:t xml:space="preserve"> </w:t>
      </w:r>
      <w:r w:rsidRPr="000E7213">
        <w:rPr>
          <w:lang w:val="el-GR"/>
        </w:rPr>
        <w:t>50</w:t>
      </w:r>
      <w:r w:rsidRPr="000E7213">
        <w:rPr>
          <w:lang w:val="en-US"/>
        </w:rPr>
        <w:t>Ni</w:t>
      </w:r>
      <w:r w:rsidRPr="000E7213">
        <w:rPr>
          <w:lang w:val="el-GR"/>
        </w:rPr>
        <w:t>(</w:t>
      </w:r>
      <w:r w:rsidRPr="000E7213">
        <w:rPr>
          <w:lang w:val="en-US"/>
        </w:rPr>
        <w:t>en</w:t>
      </w:r>
      <w:r w:rsidRPr="000E7213">
        <w:rPr>
          <w:lang w:val="el-GR"/>
        </w:rPr>
        <w:t>)</w:t>
      </w:r>
      <w:r w:rsidRPr="000E7213">
        <w:rPr>
          <w:vertAlign w:val="subscript"/>
          <w:lang w:val="el-GR"/>
        </w:rPr>
        <w:t>3</w:t>
      </w:r>
      <w:proofErr w:type="spellStart"/>
      <w:r w:rsidRPr="000E7213">
        <w:rPr>
          <w:lang w:val="en-US"/>
        </w:rPr>
        <w:t>SiO</w:t>
      </w:r>
      <w:proofErr w:type="spellEnd"/>
      <w:r w:rsidRPr="000E7213">
        <w:rPr>
          <w:vertAlign w:val="subscript"/>
          <w:lang w:val="el-GR"/>
        </w:rPr>
        <w:t>2</w:t>
      </w:r>
      <w:r w:rsidRPr="00B4415A">
        <w:rPr>
          <w:lang w:val="el-GR"/>
        </w:rPr>
        <w:t xml:space="preserve"> </w:t>
      </w:r>
      <w:r w:rsidR="00BB2208" w:rsidRPr="000E7213">
        <w:rPr>
          <w:lang w:val="el-GR"/>
        </w:rPr>
        <w:t>εμφανίζει τη</w:t>
      </w:r>
      <w:r w:rsidR="0069744D" w:rsidRPr="000E7213">
        <w:rPr>
          <w:lang w:val="el-GR"/>
        </w:rPr>
        <w:t xml:space="preserve"> μεγαλύτερη αποτελεσματικότητα στην μετατροπή του </w:t>
      </w:r>
      <w:proofErr w:type="spellStart"/>
      <w:r w:rsidR="0069744D" w:rsidRPr="000E7213">
        <w:rPr>
          <w:lang w:val="el-GR"/>
        </w:rPr>
        <w:t>ηλιελαίου</w:t>
      </w:r>
      <w:proofErr w:type="spellEnd"/>
      <w:r w:rsidR="0069744D" w:rsidRPr="000E7213">
        <w:rPr>
          <w:lang w:val="el-GR"/>
        </w:rPr>
        <w:t xml:space="preserve"> σε πράσινο ντίζελ, καθώς επιτυγχάνει 100% μετατροπή του</w:t>
      </w:r>
      <w:r w:rsidR="0069744D">
        <w:rPr>
          <w:lang w:val="el-GR"/>
        </w:rPr>
        <w:t xml:space="preserve"> </w:t>
      </w:r>
      <w:proofErr w:type="spellStart"/>
      <w:r w:rsidR="0069744D">
        <w:rPr>
          <w:lang w:val="el-GR"/>
        </w:rPr>
        <w:t>ηλιελαίου</w:t>
      </w:r>
      <w:proofErr w:type="spellEnd"/>
      <w:r w:rsidR="0069744D">
        <w:rPr>
          <w:lang w:val="el-GR"/>
        </w:rPr>
        <w:t xml:space="preserve"> μετά από 10</w:t>
      </w:r>
      <w:r w:rsidR="0069744D">
        <w:rPr>
          <w:lang w:val="en-US"/>
        </w:rPr>
        <w:t>h</w:t>
      </w:r>
      <w:r w:rsidR="0069744D" w:rsidRPr="0069744D">
        <w:rPr>
          <w:lang w:val="el-GR"/>
        </w:rPr>
        <w:t xml:space="preserve"> </w:t>
      </w:r>
      <w:r w:rsidR="0069744D">
        <w:rPr>
          <w:lang w:val="el-GR"/>
        </w:rPr>
        <w:t xml:space="preserve">αντίδρασης και </w:t>
      </w:r>
      <w:r w:rsidR="00BB2208">
        <w:rPr>
          <w:lang w:val="el-GR"/>
        </w:rPr>
        <w:t>63% απόδοση στο υγρό προϊόν σε υδρογονάνθρακες στην περιοχή του ντίζελ (</w:t>
      </w:r>
      <w:r w:rsidR="00BB2208" w:rsidRPr="00BD710D">
        <w:rPr>
          <w:lang w:val="el-GR"/>
        </w:rPr>
        <w:t>n-C17</w:t>
      </w:r>
      <w:r w:rsidR="00BB2208" w:rsidRPr="00BB2208">
        <w:rPr>
          <w:lang w:val="el-GR"/>
        </w:rPr>
        <w:t xml:space="preserve"> </w:t>
      </w:r>
      <w:r w:rsidR="00BB2208">
        <w:rPr>
          <w:lang w:val="el-GR"/>
        </w:rPr>
        <w:t xml:space="preserve">και n-C18). Ο καταλύτης αυτός δοκιμάστηκε στη συνέχεια στην αντίδραση μετατροπής </w:t>
      </w:r>
      <w:proofErr w:type="spellStart"/>
      <w:r w:rsidR="00BB2208">
        <w:rPr>
          <w:lang w:val="el-GR"/>
        </w:rPr>
        <w:t>τηγανελαίου</w:t>
      </w:r>
      <w:proofErr w:type="spellEnd"/>
      <w:r w:rsidR="00BB2208">
        <w:rPr>
          <w:lang w:val="el-GR"/>
        </w:rPr>
        <w:t xml:space="preserve"> σε πράσινο ντίζελ. Μετά από 10</w:t>
      </w:r>
      <w:r w:rsidR="00BB2208" w:rsidRPr="00BB2208">
        <w:rPr>
          <w:lang w:val="el-GR"/>
        </w:rPr>
        <w:t xml:space="preserve"> </w:t>
      </w:r>
      <w:r w:rsidR="00BB2208">
        <w:rPr>
          <w:lang w:val="en-US"/>
        </w:rPr>
        <w:t>h</w:t>
      </w:r>
      <w:r w:rsidR="00BB2208" w:rsidRPr="00BB2208">
        <w:rPr>
          <w:lang w:val="el-GR"/>
        </w:rPr>
        <w:t xml:space="preserve"> </w:t>
      </w:r>
      <w:r w:rsidR="00BB2208">
        <w:rPr>
          <w:lang w:val="el-GR"/>
        </w:rPr>
        <w:t xml:space="preserve">αντίδρασης εμφάνισε 95% μετατροπή του </w:t>
      </w:r>
      <w:proofErr w:type="spellStart"/>
      <w:r w:rsidR="00BB2208">
        <w:rPr>
          <w:lang w:val="el-GR"/>
        </w:rPr>
        <w:t>τηγανελαίου</w:t>
      </w:r>
      <w:proofErr w:type="spellEnd"/>
      <w:r w:rsidR="00BB2208">
        <w:rPr>
          <w:lang w:val="el-GR"/>
        </w:rPr>
        <w:t xml:space="preserve"> και 20% απόδοση σε υδρογονάνθρακες. Τα αποτελέσματα αυτά είναι πολύ ενθαρρυντικά και δείχνουν ότι η περαιτέρω βελτίωση της αποτελεσματικότητας αυτού του καταλύτη στην μετατροπή χρησιμοποιημένων ελαίων πρέπει να είναι ο μελλοντικός στόχος αυτής της εργασίας.</w:t>
      </w:r>
    </w:p>
    <w:p w:rsidR="000D2206" w:rsidRDefault="000D2206" w:rsidP="00EA051A">
      <w:pPr>
        <w:tabs>
          <w:tab w:val="num" w:pos="720"/>
        </w:tabs>
        <w:ind w:right="-58"/>
        <w:jc w:val="both"/>
        <w:rPr>
          <w:lang w:val="el-GR"/>
        </w:rPr>
      </w:pPr>
    </w:p>
    <w:p w:rsidR="000D2206" w:rsidRDefault="000D2206" w:rsidP="00EA051A">
      <w:pPr>
        <w:tabs>
          <w:tab w:val="num" w:pos="720"/>
        </w:tabs>
        <w:ind w:right="-58"/>
        <w:jc w:val="both"/>
        <w:rPr>
          <w:lang w:val="el-GR"/>
        </w:rPr>
      </w:pPr>
      <w:r w:rsidRPr="00C04EC8">
        <w:rPr>
          <w:noProof/>
          <w:lang w:val="el-GR" w:eastAsia="el-GR"/>
        </w:rPr>
        <w:drawing>
          <wp:inline distT="0" distB="0" distL="0" distR="0">
            <wp:extent cx="5731510" cy="3504143"/>
            <wp:effectExtent l="19050" t="0" r="2540" b="0"/>
            <wp:docPr id="1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5731510" cy="3504143"/>
                    </a:xfrm>
                    <a:prstGeom prst="rect">
                      <a:avLst/>
                    </a:prstGeom>
                    <a:noFill/>
                    <a:ln w="9525">
                      <a:noFill/>
                      <a:miter lim="800000"/>
                      <a:headEnd/>
                      <a:tailEnd/>
                    </a:ln>
                  </pic:spPr>
                </pic:pic>
              </a:graphicData>
            </a:graphic>
          </wp:inline>
        </w:drawing>
      </w:r>
    </w:p>
    <w:p w:rsidR="000D2206" w:rsidRDefault="000D2206" w:rsidP="00EA051A">
      <w:pPr>
        <w:tabs>
          <w:tab w:val="num" w:pos="720"/>
        </w:tabs>
        <w:ind w:right="-58"/>
        <w:jc w:val="both"/>
        <w:rPr>
          <w:lang w:val="el-GR"/>
        </w:rPr>
      </w:pPr>
      <w:r w:rsidRPr="00E45CEE">
        <w:rPr>
          <w:b/>
          <w:lang w:val="el-GR"/>
        </w:rPr>
        <w:t xml:space="preserve">Σχήμα </w:t>
      </w:r>
      <w:r>
        <w:rPr>
          <w:b/>
          <w:lang w:val="el-GR"/>
        </w:rPr>
        <w:t>5</w:t>
      </w:r>
      <w:r>
        <w:rPr>
          <w:lang w:val="el-GR"/>
        </w:rPr>
        <w:t>. Μετατροπή και απόδοση</w:t>
      </w:r>
      <w:r w:rsidRPr="005D1154">
        <w:rPr>
          <w:lang w:val="el-GR"/>
        </w:rPr>
        <w:t xml:space="preserve"> ηλιέλαιου σε υδρογονάνθρακες</w:t>
      </w:r>
      <w:r>
        <w:rPr>
          <w:lang w:val="el-GR"/>
        </w:rPr>
        <w:t>, παρουσία των καταλυτών της σειράς</w:t>
      </w:r>
      <w:r w:rsidRPr="002877D2">
        <w:rPr>
          <w:lang w:val="el-GR"/>
        </w:rPr>
        <w:t xml:space="preserve"> </w:t>
      </w:r>
      <w:proofErr w:type="spellStart"/>
      <w:r>
        <w:rPr>
          <w:lang w:val="en-US"/>
        </w:rPr>
        <w:t>x</w:t>
      </w:r>
      <w:r w:rsidRPr="00417108">
        <w:rPr>
          <w:lang w:val="en-US"/>
        </w:rPr>
        <w:t>Ni</w:t>
      </w:r>
      <w:proofErr w:type="spellEnd"/>
      <w:r w:rsidRPr="005D1154">
        <w:rPr>
          <w:lang w:val="el-GR"/>
        </w:rPr>
        <w:t>(</w:t>
      </w:r>
      <w:r w:rsidRPr="00417108">
        <w:rPr>
          <w:lang w:val="en-US"/>
        </w:rPr>
        <w:t>en</w:t>
      </w:r>
      <w:r w:rsidRPr="005D1154">
        <w:rPr>
          <w:lang w:val="el-GR"/>
        </w:rPr>
        <w:t>)</w:t>
      </w:r>
      <w:r w:rsidRPr="005D1154">
        <w:rPr>
          <w:vertAlign w:val="subscript"/>
          <w:lang w:val="el-GR"/>
        </w:rPr>
        <w:t>3</w:t>
      </w:r>
      <w:proofErr w:type="spellStart"/>
      <w:r w:rsidRPr="00417108">
        <w:rPr>
          <w:lang w:val="en-US"/>
        </w:rPr>
        <w:t>SiO</w:t>
      </w:r>
      <w:proofErr w:type="spellEnd"/>
      <w:r w:rsidRPr="005D1154">
        <w:rPr>
          <w:vertAlign w:val="subscript"/>
          <w:lang w:val="el-GR"/>
        </w:rPr>
        <w:t>2</w:t>
      </w:r>
      <w:r>
        <w:rPr>
          <w:lang w:val="el-GR"/>
        </w:rPr>
        <w:t xml:space="preserve">, μετά από 10 </w:t>
      </w:r>
      <w:r>
        <w:rPr>
          <w:lang w:val="en-US"/>
        </w:rPr>
        <w:t>h</w:t>
      </w:r>
      <w:r>
        <w:rPr>
          <w:lang w:val="el-GR"/>
        </w:rPr>
        <w:t xml:space="preserve"> αντίδρασης.</w:t>
      </w:r>
    </w:p>
    <w:p w:rsidR="000D2206" w:rsidRPr="00BB2208" w:rsidRDefault="000D2206" w:rsidP="00EA051A">
      <w:pPr>
        <w:tabs>
          <w:tab w:val="num" w:pos="720"/>
        </w:tabs>
        <w:ind w:right="-58"/>
        <w:jc w:val="both"/>
        <w:rPr>
          <w:lang w:val="el-GR"/>
        </w:rPr>
      </w:pPr>
    </w:p>
    <w:p w:rsidR="00BD710D" w:rsidRDefault="00BD710D" w:rsidP="00EA051A">
      <w:pPr>
        <w:tabs>
          <w:tab w:val="num" w:pos="720"/>
        </w:tabs>
        <w:ind w:right="-58"/>
        <w:jc w:val="both"/>
        <w:rPr>
          <w:lang w:val="el-GR"/>
        </w:rPr>
      </w:pPr>
      <w:r w:rsidRPr="00BD710D">
        <w:rPr>
          <w:lang w:val="el-GR"/>
        </w:rPr>
        <w:tab/>
        <w:t>Το σχήμα 6 δείχνει τις αποδόσεις σε κάθε ένα από τους δύο κύριους υδρογονάνθρακες</w:t>
      </w:r>
      <w:r>
        <w:rPr>
          <w:lang w:val="el-GR"/>
        </w:rPr>
        <w:t>,</w:t>
      </w:r>
      <w:r w:rsidRPr="00BD710D">
        <w:rPr>
          <w:lang w:val="el-GR"/>
        </w:rPr>
        <w:t xml:space="preserve"> που λαμβάνονται στα προϊόντα στο τέλος κάθε καταλυτικής αντίδρασης. Φαίνεται καθαρά ότι οι αποδόσεις σε n-C17 είναι σημαντικά μεγαλύτερες από τις αποδόσεις σε n-C18, υποδεικνύοντας ότι η εκλεκτική </w:t>
      </w:r>
      <w:proofErr w:type="spellStart"/>
      <w:r w:rsidRPr="00BD710D">
        <w:rPr>
          <w:lang w:val="el-GR"/>
        </w:rPr>
        <w:t>αποξυγόνωση</w:t>
      </w:r>
      <w:proofErr w:type="spellEnd"/>
      <w:r>
        <w:rPr>
          <w:lang w:val="el-GR"/>
        </w:rPr>
        <w:t xml:space="preserve"> (</w:t>
      </w:r>
      <w:r>
        <w:rPr>
          <w:lang w:val="en-US"/>
        </w:rPr>
        <w:t>SDO</w:t>
      </w:r>
      <w:r>
        <w:rPr>
          <w:lang w:val="el-GR"/>
        </w:rPr>
        <w:t>)</w:t>
      </w:r>
      <w:r w:rsidRPr="00BD710D">
        <w:rPr>
          <w:lang w:val="el-GR"/>
        </w:rPr>
        <w:t xml:space="preserve"> </w:t>
      </w:r>
      <w:r>
        <w:rPr>
          <w:lang w:val="el-GR"/>
        </w:rPr>
        <w:t>προχωρεί κυρίως μέσω</w:t>
      </w:r>
      <w:r w:rsidRPr="00BD710D">
        <w:rPr>
          <w:lang w:val="el-GR"/>
        </w:rPr>
        <w:t xml:space="preserve"> </w:t>
      </w:r>
      <w:proofErr w:type="spellStart"/>
      <w:r>
        <w:rPr>
          <w:lang w:val="el-GR"/>
        </w:rPr>
        <w:t>αποκαρβονυλίωσης</w:t>
      </w:r>
      <w:proofErr w:type="spellEnd"/>
      <w:r>
        <w:rPr>
          <w:lang w:val="el-GR"/>
        </w:rPr>
        <w:t>/</w:t>
      </w:r>
      <w:proofErr w:type="spellStart"/>
      <w:r>
        <w:rPr>
          <w:lang w:val="el-GR"/>
        </w:rPr>
        <w:t>αποκαρβοξυλίωσης</w:t>
      </w:r>
      <w:proofErr w:type="spellEnd"/>
      <w:r>
        <w:rPr>
          <w:lang w:val="el-GR"/>
        </w:rPr>
        <w:t xml:space="preserve"> (</w:t>
      </w:r>
      <w:proofErr w:type="spellStart"/>
      <w:r>
        <w:rPr>
          <w:lang w:val="el-GR"/>
        </w:rPr>
        <w:t>deCO</w:t>
      </w:r>
      <w:proofErr w:type="spellEnd"/>
      <w:r>
        <w:rPr>
          <w:lang w:val="el-GR"/>
        </w:rPr>
        <w:t>/</w:t>
      </w:r>
      <w:proofErr w:type="spellStart"/>
      <w:r w:rsidRPr="00BD710D">
        <w:rPr>
          <w:lang w:val="el-GR"/>
        </w:rPr>
        <w:t>deCO</w:t>
      </w:r>
      <w:r w:rsidRPr="00BD710D">
        <w:rPr>
          <w:vertAlign w:val="subscript"/>
          <w:lang w:val="el-GR"/>
        </w:rPr>
        <w:t>2</w:t>
      </w:r>
      <w:proofErr w:type="spellEnd"/>
      <w:r>
        <w:rPr>
          <w:lang w:val="el-GR"/>
        </w:rPr>
        <w:t>) (Σχήμα 1)</w:t>
      </w:r>
      <w:r w:rsidRPr="00BD710D">
        <w:rPr>
          <w:lang w:val="el-GR"/>
        </w:rPr>
        <w:t xml:space="preserve">. Αυτό </w:t>
      </w:r>
      <w:r>
        <w:rPr>
          <w:lang w:val="el-GR"/>
        </w:rPr>
        <w:t xml:space="preserve">είναι σε συμφωνία με τη διεθνή βιβλιογραφία, όσον αφορά </w:t>
      </w:r>
      <w:r w:rsidRPr="00BD710D">
        <w:rPr>
          <w:lang w:val="el-GR"/>
        </w:rPr>
        <w:t>τους καταλύτες νικελίου</w:t>
      </w:r>
      <w:r>
        <w:rPr>
          <w:lang w:val="el-GR"/>
        </w:rPr>
        <w:t xml:space="preserve"> </w:t>
      </w:r>
      <w:r w:rsidR="00D440F2">
        <w:rPr>
          <w:lang w:val="el-GR"/>
        </w:rPr>
        <w:t>[4]</w:t>
      </w:r>
      <w:r>
        <w:rPr>
          <w:lang w:val="el-GR"/>
        </w:rPr>
        <w:t>.</w:t>
      </w:r>
      <w:r w:rsidR="00196FA5" w:rsidRPr="00196FA5">
        <w:rPr>
          <w:lang w:val="el-GR"/>
        </w:rPr>
        <w:t xml:space="preserve"> </w:t>
      </w:r>
      <w:r w:rsidR="00196FA5">
        <w:rPr>
          <w:lang w:val="el-GR"/>
        </w:rPr>
        <w:t>Θα πρέπει επιπλέον να αναφέρουμε ότι δ</w:t>
      </w:r>
      <w:r w:rsidR="00196FA5" w:rsidRPr="005D1154">
        <w:rPr>
          <w:lang w:val="el-GR"/>
        </w:rPr>
        <w:t xml:space="preserve">εν υπάρχει σαφής τάση όσον αφορά τόσο την ολική απόδοση στα οξέα όσο και τη συνολική απόδοση στους εστέρες. Αυτό πιθανότατα οφείλεται στο γεγονός ότι οι τιμές τους επηρεάζονται τόσο από τις τιμές μετατροπής </w:t>
      </w:r>
      <w:r w:rsidR="00196FA5">
        <w:rPr>
          <w:lang w:val="el-GR"/>
        </w:rPr>
        <w:t xml:space="preserve">του </w:t>
      </w:r>
      <w:proofErr w:type="spellStart"/>
      <w:r w:rsidR="00196FA5">
        <w:rPr>
          <w:lang w:val="el-GR"/>
        </w:rPr>
        <w:t>ηλιελαίου</w:t>
      </w:r>
      <w:proofErr w:type="spellEnd"/>
      <w:r w:rsidR="00196FA5">
        <w:rPr>
          <w:lang w:val="el-GR"/>
        </w:rPr>
        <w:t xml:space="preserve">, </w:t>
      </w:r>
      <w:r w:rsidR="00196FA5" w:rsidRPr="005D1154">
        <w:rPr>
          <w:lang w:val="el-GR"/>
        </w:rPr>
        <w:t>όσο και από τις τιμές της συνολικής απόδοσης σε υδρογονάνθρακες</w:t>
      </w:r>
      <w:r w:rsidR="00196FA5">
        <w:rPr>
          <w:lang w:val="el-GR"/>
        </w:rPr>
        <w:t>.</w:t>
      </w:r>
    </w:p>
    <w:p w:rsidR="000D2206" w:rsidRDefault="000D2206" w:rsidP="00EA051A">
      <w:pPr>
        <w:tabs>
          <w:tab w:val="num" w:pos="720"/>
        </w:tabs>
        <w:ind w:right="-58"/>
        <w:jc w:val="both"/>
        <w:rPr>
          <w:lang w:val="el-GR"/>
        </w:rPr>
      </w:pPr>
    </w:p>
    <w:p w:rsidR="00E01E81" w:rsidRDefault="00637ABE" w:rsidP="00637ABE">
      <w:pPr>
        <w:tabs>
          <w:tab w:val="num" w:pos="720"/>
        </w:tabs>
        <w:ind w:right="-58"/>
        <w:jc w:val="center"/>
        <w:rPr>
          <w:lang w:val="el-GR"/>
        </w:rPr>
      </w:pPr>
      <w:r w:rsidRPr="00637ABE">
        <w:rPr>
          <w:noProof/>
          <w:lang w:val="el-GR" w:eastAsia="el-GR"/>
        </w:rPr>
        <w:lastRenderedPageBreak/>
        <w:drawing>
          <wp:inline distT="0" distB="0" distL="0" distR="0">
            <wp:extent cx="4371975" cy="2762250"/>
            <wp:effectExtent l="19050" t="0" r="9525" b="0"/>
            <wp:docPr id="9"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371975" cy="2762250"/>
                    </a:xfrm>
                    <a:prstGeom prst="rect">
                      <a:avLst/>
                    </a:prstGeom>
                    <a:noFill/>
                    <a:ln w="9525">
                      <a:noFill/>
                      <a:miter lim="800000"/>
                      <a:headEnd/>
                      <a:tailEnd/>
                    </a:ln>
                  </pic:spPr>
                </pic:pic>
              </a:graphicData>
            </a:graphic>
          </wp:inline>
        </w:drawing>
      </w:r>
    </w:p>
    <w:p w:rsidR="00E01E81" w:rsidRDefault="00637ABE" w:rsidP="00EA051A">
      <w:pPr>
        <w:tabs>
          <w:tab w:val="num" w:pos="720"/>
        </w:tabs>
        <w:ind w:right="-58"/>
        <w:jc w:val="both"/>
        <w:rPr>
          <w:lang w:val="el-GR"/>
        </w:rPr>
      </w:pPr>
      <w:r w:rsidRPr="00E45CEE">
        <w:rPr>
          <w:b/>
          <w:lang w:val="el-GR"/>
        </w:rPr>
        <w:t xml:space="preserve">Σχήμα </w:t>
      </w:r>
      <w:r>
        <w:rPr>
          <w:b/>
          <w:lang w:val="el-GR"/>
        </w:rPr>
        <w:t>6</w:t>
      </w:r>
      <w:r>
        <w:rPr>
          <w:lang w:val="el-GR"/>
        </w:rPr>
        <w:t>. Απόδοση</w:t>
      </w:r>
      <w:r w:rsidRPr="005D1154">
        <w:rPr>
          <w:lang w:val="el-GR"/>
        </w:rPr>
        <w:t xml:space="preserve"> ηλιέλαιου σε υδρογονάνθρακες</w:t>
      </w:r>
      <w:r>
        <w:rPr>
          <w:lang w:val="el-GR"/>
        </w:rPr>
        <w:t xml:space="preserve"> </w:t>
      </w:r>
      <w:r w:rsidRPr="00BD710D">
        <w:rPr>
          <w:lang w:val="el-GR"/>
        </w:rPr>
        <w:t>n-C17</w:t>
      </w:r>
      <w:r>
        <w:rPr>
          <w:lang w:val="el-GR"/>
        </w:rPr>
        <w:t xml:space="preserve"> και </w:t>
      </w:r>
      <w:r w:rsidRPr="00BD710D">
        <w:rPr>
          <w:lang w:val="el-GR"/>
        </w:rPr>
        <w:t>n-C1</w:t>
      </w:r>
      <w:r>
        <w:rPr>
          <w:lang w:val="el-GR"/>
        </w:rPr>
        <w:t>8, παρουσία των καταλυτών της σειράς</w:t>
      </w:r>
      <w:r w:rsidRPr="002877D2">
        <w:rPr>
          <w:lang w:val="el-GR"/>
        </w:rPr>
        <w:t xml:space="preserve"> </w:t>
      </w:r>
      <w:proofErr w:type="spellStart"/>
      <w:r>
        <w:rPr>
          <w:lang w:val="en-US"/>
        </w:rPr>
        <w:t>x</w:t>
      </w:r>
      <w:r w:rsidRPr="00417108">
        <w:rPr>
          <w:lang w:val="en-US"/>
        </w:rPr>
        <w:t>Ni</w:t>
      </w:r>
      <w:proofErr w:type="spellEnd"/>
      <w:r w:rsidRPr="005D1154">
        <w:rPr>
          <w:lang w:val="el-GR"/>
        </w:rPr>
        <w:t>(</w:t>
      </w:r>
      <w:r w:rsidRPr="00417108">
        <w:rPr>
          <w:lang w:val="en-US"/>
        </w:rPr>
        <w:t>en</w:t>
      </w:r>
      <w:r w:rsidRPr="005D1154">
        <w:rPr>
          <w:lang w:val="el-GR"/>
        </w:rPr>
        <w:t>)</w:t>
      </w:r>
      <w:r w:rsidRPr="005D1154">
        <w:rPr>
          <w:vertAlign w:val="subscript"/>
          <w:lang w:val="el-GR"/>
        </w:rPr>
        <w:t>3</w:t>
      </w:r>
      <w:proofErr w:type="spellStart"/>
      <w:r w:rsidRPr="00417108">
        <w:rPr>
          <w:lang w:val="en-US"/>
        </w:rPr>
        <w:t>SiO</w:t>
      </w:r>
      <w:proofErr w:type="spellEnd"/>
      <w:r w:rsidRPr="005D1154">
        <w:rPr>
          <w:vertAlign w:val="subscript"/>
          <w:lang w:val="el-GR"/>
        </w:rPr>
        <w:t>2</w:t>
      </w:r>
      <w:r>
        <w:rPr>
          <w:lang w:val="el-GR"/>
        </w:rPr>
        <w:t xml:space="preserve">, μετά από 10 </w:t>
      </w:r>
      <w:r>
        <w:rPr>
          <w:lang w:val="en-US"/>
        </w:rPr>
        <w:t>h</w:t>
      </w:r>
      <w:r>
        <w:rPr>
          <w:lang w:val="el-GR"/>
        </w:rPr>
        <w:t xml:space="preserve"> αντίδρασης.</w:t>
      </w:r>
    </w:p>
    <w:p w:rsidR="00637ABE" w:rsidRDefault="00637ABE" w:rsidP="00EA051A">
      <w:pPr>
        <w:tabs>
          <w:tab w:val="num" w:pos="720"/>
        </w:tabs>
        <w:ind w:right="-58"/>
        <w:jc w:val="both"/>
        <w:rPr>
          <w:lang w:val="el-GR"/>
        </w:rPr>
      </w:pPr>
    </w:p>
    <w:p w:rsidR="00193710" w:rsidRPr="00D36349" w:rsidRDefault="00D36349" w:rsidP="00EA051A">
      <w:pPr>
        <w:tabs>
          <w:tab w:val="num" w:pos="720"/>
        </w:tabs>
        <w:ind w:right="-58"/>
        <w:jc w:val="both"/>
        <w:rPr>
          <w:lang w:val="el-GR"/>
        </w:rPr>
      </w:pPr>
      <w:r w:rsidRPr="00D36349">
        <w:rPr>
          <w:lang w:val="el-GR"/>
        </w:rPr>
        <w:tab/>
        <w:t xml:space="preserve">Το Σχήμα </w:t>
      </w:r>
      <w:r w:rsidR="00334C28">
        <w:rPr>
          <w:lang w:val="el-GR"/>
        </w:rPr>
        <w:t>7</w:t>
      </w:r>
      <w:r w:rsidRPr="00D36349">
        <w:rPr>
          <w:lang w:val="el-GR"/>
        </w:rPr>
        <w:t xml:space="preserve"> απεικονίζει την κινητική του μετασχηματισμού του </w:t>
      </w:r>
      <w:proofErr w:type="spellStart"/>
      <w:r w:rsidRPr="00D36349">
        <w:rPr>
          <w:lang w:val="el-GR"/>
        </w:rPr>
        <w:t>ηλιελαίου</w:t>
      </w:r>
      <w:proofErr w:type="spellEnd"/>
      <w:r w:rsidRPr="00D36349">
        <w:rPr>
          <w:lang w:val="el-GR"/>
        </w:rPr>
        <w:t xml:space="preserve"> σε υδρογονάνθρακες στην </w:t>
      </w:r>
      <w:r>
        <w:rPr>
          <w:lang w:val="el-GR"/>
        </w:rPr>
        <w:t>περιοχή</w:t>
      </w:r>
      <w:r w:rsidRPr="00D36349">
        <w:rPr>
          <w:lang w:val="el-GR"/>
        </w:rPr>
        <w:t xml:space="preserve"> του ντίζελ</w:t>
      </w:r>
      <w:r>
        <w:rPr>
          <w:lang w:val="el-GR"/>
        </w:rPr>
        <w:t>,</w:t>
      </w:r>
      <w:r w:rsidRPr="00D36349">
        <w:rPr>
          <w:lang w:val="el-GR"/>
        </w:rPr>
        <w:t xml:space="preserve"> </w:t>
      </w:r>
      <w:r>
        <w:rPr>
          <w:lang w:val="el-GR"/>
        </w:rPr>
        <w:t xml:space="preserve">παρουσία του </w:t>
      </w:r>
      <w:r w:rsidR="0065051F">
        <w:rPr>
          <w:lang w:val="el-GR"/>
        </w:rPr>
        <w:t xml:space="preserve">δραστικότερου </w:t>
      </w:r>
      <w:r>
        <w:rPr>
          <w:lang w:val="el-GR"/>
        </w:rPr>
        <w:t>καταλύτη</w:t>
      </w:r>
      <w:r w:rsidRPr="00D36349">
        <w:rPr>
          <w:lang w:val="el-GR"/>
        </w:rPr>
        <w:t xml:space="preserve"> </w:t>
      </w:r>
      <w:r w:rsidR="0065051F">
        <w:rPr>
          <w:lang w:val="el-GR"/>
        </w:rPr>
        <w:t>5</w:t>
      </w:r>
      <w:r w:rsidRPr="00556E5D">
        <w:rPr>
          <w:lang w:val="el-GR"/>
        </w:rPr>
        <w:t>0</w:t>
      </w:r>
      <w:r w:rsidRPr="00417108">
        <w:rPr>
          <w:lang w:val="en-US"/>
        </w:rPr>
        <w:t>Ni</w:t>
      </w:r>
      <w:r w:rsidRPr="00556E5D">
        <w:rPr>
          <w:lang w:val="el-GR"/>
        </w:rPr>
        <w:t>(</w:t>
      </w:r>
      <w:r w:rsidRPr="00417108">
        <w:rPr>
          <w:lang w:val="en-US"/>
        </w:rPr>
        <w:t>en</w:t>
      </w:r>
      <w:r w:rsidRPr="00556E5D">
        <w:rPr>
          <w:lang w:val="el-GR"/>
        </w:rPr>
        <w:t>)</w:t>
      </w:r>
      <w:r w:rsidRPr="00556E5D">
        <w:rPr>
          <w:vertAlign w:val="subscript"/>
          <w:lang w:val="el-GR"/>
        </w:rPr>
        <w:t>3</w:t>
      </w:r>
      <w:proofErr w:type="spellStart"/>
      <w:r w:rsidRPr="00417108">
        <w:rPr>
          <w:lang w:val="en-US"/>
        </w:rPr>
        <w:t>SiO</w:t>
      </w:r>
      <w:proofErr w:type="spellEnd"/>
      <w:r w:rsidRPr="00556E5D">
        <w:rPr>
          <w:vertAlign w:val="subscript"/>
          <w:lang w:val="el-GR"/>
        </w:rPr>
        <w:t>2</w:t>
      </w:r>
      <w:r w:rsidRPr="00D36349">
        <w:rPr>
          <w:lang w:val="el-GR"/>
        </w:rPr>
        <w:t>. Παρόμοιες κινητικές καμπύλες αποκτήθηκαν σε όλους τους καταλύτες που αξιολογήθηκαν στην παρούσα μελέτη</w:t>
      </w:r>
      <w:r>
        <w:rPr>
          <w:lang w:val="el-GR"/>
        </w:rPr>
        <w:t>.</w:t>
      </w:r>
      <w:r w:rsidR="0065051F" w:rsidRPr="0065051F">
        <w:rPr>
          <w:lang w:val="el-GR"/>
        </w:rPr>
        <w:t xml:space="preserve"> Προσεχτική παρατήρηση του σχήματος δείχνει ότι οι συνολικές αποδόσεις σε οξέα και εστέρες αρχίζουν να αυξάνονται και στη συνέχεια μειώνονται. Από την άλλη πλευρά, η συνολική απόδοση σε υδρογονάνθρακες αυξάνε</w:t>
      </w:r>
      <w:r w:rsidR="000D2206">
        <w:rPr>
          <w:lang w:val="el-GR"/>
        </w:rPr>
        <w:t>ται μονοτονικά με το χρόνο. Αυτές οι παρατηρήσεις</w:t>
      </w:r>
      <w:r w:rsidR="0065051F" w:rsidRPr="0065051F">
        <w:rPr>
          <w:lang w:val="el-GR"/>
        </w:rPr>
        <w:t xml:space="preserve"> </w:t>
      </w:r>
      <w:r w:rsidR="000D2206">
        <w:rPr>
          <w:lang w:val="el-GR"/>
        </w:rPr>
        <w:t>αποτελούν ενδείξεις για</w:t>
      </w:r>
      <w:r w:rsidR="0065051F" w:rsidRPr="0065051F">
        <w:rPr>
          <w:lang w:val="el-GR"/>
        </w:rPr>
        <w:t xml:space="preserve"> </w:t>
      </w:r>
      <w:r w:rsidR="00486625">
        <w:rPr>
          <w:lang w:val="el-GR"/>
        </w:rPr>
        <w:t>το μηχανισμό που ακολουθεί η αντίδραση του μετασχηματισμού</w:t>
      </w:r>
      <w:r w:rsidR="0065051F" w:rsidRPr="0065051F">
        <w:rPr>
          <w:lang w:val="el-GR"/>
        </w:rPr>
        <w:t xml:space="preserve"> του ηλιέλαιου σε πράσινο ντίζελ</w:t>
      </w:r>
      <w:r w:rsidR="00486625">
        <w:rPr>
          <w:lang w:val="el-GR"/>
        </w:rPr>
        <w:t>,</w:t>
      </w:r>
      <w:r w:rsidR="0065051F" w:rsidRPr="0065051F">
        <w:rPr>
          <w:lang w:val="el-GR"/>
        </w:rPr>
        <w:t xml:space="preserve"> πάνω </w:t>
      </w:r>
      <w:r w:rsidR="00486625">
        <w:rPr>
          <w:lang w:val="el-GR"/>
        </w:rPr>
        <w:t>σ</w:t>
      </w:r>
      <w:r w:rsidR="0065051F" w:rsidRPr="0065051F">
        <w:rPr>
          <w:lang w:val="el-GR"/>
        </w:rPr>
        <w:t>τους καταλύτες που</w:t>
      </w:r>
      <w:r w:rsidR="00486625">
        <w:rPr>
          <w:lang w:val="el-GR"/>
        </w:rPr>
        <w:t xml:space="preserve"> μελετήθηκαν</w:t>
      </w:r>
      <w:r w:rsidR="0065051F" w:rsidRPr="0065051F">
        <w:rPr>
          <w:lang w:val="el-GR"/>
        </w:rPr>
        <w:t>.</w:t>
      </w:r>
    </w:p>
    <w:p w:rsidR="00D2347B" w:rsidRDefault="00D2347B" w:rsidP="00EA051A">
      <w:pPr>
        <w:tabs>
          <w:tab w:val="num" w:pos="720"/>
        </w:tabs>
        <w:ind w:right="-58"/>
        <w:jc w:val="both"/>
        <w:rPr>
          <w:lang w:val="el-GR"/>
        </w:rPr>
      </w:pPr>
    </w:p>
    <w:p w:rsidR="00D36349" w:rsidRDefault="00D36349" w:rsidP="00EA051A">
      <w:pPr>
        <w:tabs>
          <w:tab w:val="num" w:pos="720"/>
        </w:tabs>
        <w:ind w:right="-58"/>
        <w:jc w:val="both"/>
        <w:rPr>
          <w:lang w:val="el-GR"/>
        </w:rPr>
      </w:pPr>
      <w:r w:rsidRPr="00D36349">
        <w:rPr>
          <w:noProof/>
          <w:lang w:val="el-GR" w:eastAsia="el-GR"/>
        </w:rPr>
        <w:drawing>
          <wp:inline distT="0" distB="0" distL="0" distR="0">
            <wp:extent cx="5731510" cy="2299813"/>
            <wp:effectExtent l="19050" t="0" r="2540" b="0"/>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731510" cy="2299813"/>
                    </a:xfrm>
                    <a:prstGeom prst="rect">
                      <a:avLst/>
                    </a:prstGeom>
                    <a:noFill/>
                    <a:ln w="9525">
                      <a:noFill/>
                      <a:miter lim="800000"/>
                      <a:headEnd/>
                      <a:tailEnd/>
                    </a:ln>
                  </pic:spPr>
                </pic:pic>
              </a:graphicData>
            </a:graphic>
          </wp:inline>
        </w:drawing>
      </w:r>
    </w:p>
    <w:p w:rsidR="00D36349" w:rsidRDefault="00D36349" w:rsidP="00EA051A">
      <w:pPr>
        <w:tabs>
          <w:tab w:val="num" w:pos="720"/>
        </w:tabs>
        <w:ind w:right="-58"/>
        <w:jc w:val="both"/>
        <w:rPr>
          <w:lang w:val="el-GR"/>
        </w:rPr>
      </w:pPr>
      <w:r w:rsidRPr="009437FD">
        <w:rPr>
          <w:b/>
          <w:lang w:val="el-GR"/>
        </w:rPr>
        <w:t xml:space="preserve">Σχήμα </w:t>
      </w:r>
      <w:r w:rsidR="00334C28">
        <w:rPr>
          <w:b/>
          <w:lang w:val="el-GR"/>
        </w:rPr>
        <w:t>7</w:t>
      </w:r>
      <w:r w:rsidRPr="00DA46FC">
        <w:rPr>
          <w:lang w:val="el-GR"/>
        </w:rPr>
        <w:t>.</w:t>
      </w:r>
      <w:r w:rsidRPr="009437FD">
        <w:rPr>
          <w:lang w:val="el-GR"/>
        </w:rPr>
        <w:t xml:space="preserve"> </w:t>
      </w:r>
      <w:r>
        <w:rPr>
          <w:lang w:val="el-GR"/>
        </w:rPr>
        <w:t xml:space="preserve">Κινητική της μετατροπής </w:t>
      </w:r>
      <w:r w:rsidRPr="009437FD">
        <w:rPr>
          <w:lang w:val="el-GR"/>
        </w:rPr>
        <w:t xml:space="preserve">του </w:t>
      </w:r>
      <w:proofErr w:type="spellStart"/>
      <w:r w:rsidRPr="009437FD">
        <w:rPr>
          <w:lang w:val="el-GR"/>
        </w:rPr>
        <w:t>ηλιελαίου</w:t>
      </w:r>
      <w:proofErr w:type="spellEnd"/>
      <w:r w:rsidRPr="009437FD">
        <w:rPr>
          <w:lang w:val="el-GR"/>
        </w:rPr>
        <w:t xml:space="preserve"> σε πράσινο ντίζελ, παρουσία του καταλύτη </w:t>
      </w:r>
      <w:r w:rsidR="0065051F">
        <w:rPr>
          <w:lang w:val="el-GR"/>
        </w:rPr>
        <w:t>5</w:t>
      </w:r>
      <w:r w:rsidRPr="00556E5D">
        <w:rPr>
          <w:lang w:val="el-GR"/>
        </w:rPr>
        <w:t>0</w:t>
      </w:r>
      <w:r w:rsidRPr="00417108">
        <w:rPr>
          <w:lang w:val="en-US"/>
        </w:rPr>
        <w:t>Ni</w:t>
      </w:r>
      <w:r w:rsidRPr="00556E5D">
        <w:rPr>
          <w:lang w:val="el-GR"/>
        </w:rPr>
        <w:t>(</w:t>
      </w:r>
      <w:r w:rsidRPr="00417108">
        <w:rPr>
          <w:lang w:val="en-US"/>
        </w:rPr>
        <w:t>en</w:t>
      </w:r>
      <w:r w:rsidRPr="00556E5D">
        <w:rPr>
          <w:lang w:val="el-GR"/>
        </w:rPr>
        <w:t>)</w:t>
      </w:r>
      <w:r w:rsidRPr="00556E5D">
        <w:rPr>
          <w:vertAlign w:val="subscript"/>
          <w:lang w:val="el-GR"/>
        </w:rPr>
        <w:t>3</w:t>
      </w:r>
      <w:proofErr w:type="spellStart"/>
      <w:r w:rsidRPr="00417108">
        <w:rPr>
          <w:lang w:val="en-US"/>
        </w:rPr>
        <w:t>SiO</w:t>
      </w:r>
      <w:proofErr w:type="spellEnd"/>
      <w:r w:rsidRPr="00556E5D">
        <w:rPr>
          <w:vertAlign w:val="subscript"/>
          <w:lang w:val="el-GR"/>
        </w:rPr>
        <w:t>2</w:t>
      </w:r>
      <w:r>
        <w:rPr>
          <w:lang w:val="el-GR"/>
        </w:rPr>
        <w:t>).</w:t>
      </w:r>
    </w:p>
    <w:p w:rsidR="00D2347B" w:rsidRDefault="00D2347B" w:rsidP="00EA051A">
      <w:pPr>
        <w:tabs>
          <w:tab w:val="num" w:pos="720"/>
        </w:tabs>
        <w:ind w:right="-58"/>
        <w:jc w:val="both"/>
        <w:rPr>
          <w:lang w:val="el-GR"/>
        </w:rPr>
      </w:pPr>
    </w:p>
    <w:p w:rsidR="005D1154" w:rsidRPr="006E3091" w:rsidRDefault="005D1154" w:rsidP="00EA051A">
      <w:pPr>
        <w:tabs>
          <w:tab w:val="num" w:pos="720"/>
        </w:tabs>
        <w:ind w:right="-58"/>
        <w:jc w:val="both"/>
        <w:rPr>
          <w:lang w:val="el-GR"/>
        </w:rPr>
      </w:pPr>
      <w:r w:rsidRPr="006E3091">
        <w:rPr>
          <w:lang w:val="el-GR"/>
        </w:rPr>
        <w:tab/>
      </w:r>
      <w:r w:rsidR="000D2206" w:rsidRPr="006E3091">
        <w:rPr>
          <w:lang w:val="el-GR"/>
        </w:rPr>
        <w:t>Πιο συγκεκριμένα,</w:t>
      </w:r>
      <w:r w:rsidR="00A443DD" w:rsidRPr="006E3091">
        <w:rPr>
          <w:lang w:val="el-GR"/>
        </w:rPr>
        <w:t xml:space="preserve"> </w:t>
      </w:r>
      <w:r w:rsidR="00A443DD" w:rsidRPr="006E3091">
        <w:rPr>
          <w:color w:val="222222"/>
          <w:lang w:val="el-GR"/>
        </w:rPr>
        <w:t>όπως αναφέρθηκε ήδη παραπάνω, φαίνεται ότι η διεργασία της</w:t>
      </w:r>
      <w:r w:rsidR="00A443DD" w:rsidRPr="006E3091">
        <w:rPr>
          <w:lang w:val="el-GR"/>
        </w:rPr>
        <w:t xml:space="preserve"> εκλεκτικής </w:t>
      </w:r>
      <w:proofErr w:type="spellStart"/>
      <w:r w:rsidR="00A443DD" w:rsidRPr="006E3091">
        <w:rPr>
          <w:lang w:val="el-GR"/>
        </w:rPr>
        <w:t>αποξυγόνωσης</w:t>
      </w:r>
      <w:proofErr w:type="spellEnd"/>
      <w:r w:rsidR="00A443DD" w:rsidRPr="006E3091">
        <w:rPr>
          <w:lang w:val="el-GR"/>
        </w:rPr>
        <w:t xml:space="preserve"> (</w:t>
      </w:r>
      <w:r w:rsidR="00A443DD" w:rsidRPr="006E3091">
        <w:rPr>
          <w:lang w:val="en-US"/>
        </w:rPr>
        <w:t>SDO</w:t>
      </w:r>
      <w:r w:rsidR="00A443DD" w:rsidRPr="006E3091">
        <w:rPr>
          <w:lang w:val="el-GR"/>
        </w:rPr>
        <w:t xml:space="preserve">) προχωρεί κυρίως μέσω </w:t>
      </w:r>
      <w:proofErr w:type="spellStart"/>
      <w:r w:rsidR="00A443DD" w:rsidRPr="006E3091">
        <w:rPr>
          <w:lang w:val="el-GR"/>
        </w:rPr>
        <w:t>αποκαρβονυλίωσης</w:t>
      </w:r>
      <w:proofErr w:type="spellEnd"/>
      <w:r w:rsidR="00A443DD" w:rsidRPr="006E3091">
        <w:rPr>
          <w:lang w:val="el-GR"/>
        </w:rPr>
        <w:t>/</w:t>
      </w:r>
      <w:proofErr w:type="spellStart"/>
      <w:r w:rsidR="00A443DD" w:rsidRPr="006E3091">
        <w:rPr>
          <w:lang w:val="el-GR"/>
        </w:rPr>
        <w:t>αποκαρβοξυλίωσης</w:t>
      </w:r>
      <w:proofErr w:type="spellEnd"/>
      <w:r w:rsidR="00A443DD" w:rsidRPr="006E3091">
        <w:rPr>
          <w:lang w:val="el-GR"/>
        </w:rPr>
        <w:t xml:space="preserve"> (</w:t>
      </w:r>
      <w:proofErr w:type="spellStart"/>
      <w:r w:rsidR="00A443DD" w:rsidRPr="006E3091">
        <w:rPr>
          <w:lang w:val="el-GR"/>
        </w:rPr>
        <w:t>deCO</w:t>
      </w:r>
      <w:proofErr w:type="spellEnd"/>
      <w:r w:rsidR="00A443DD" w:rsidRPr="006E3091">
        <w:rPr>
          <w:lang w:val="el-GR"/>
        </w:rPr>
        <w:t>/</w:t>
      </w:r>
      <w:proofErr w:type="spellStart"/>
      <w:r w:rsidR="00A443DD" w:rsidRPr="006E3091">
        <w:rPr>
          <w:lang w:val="el-GR"/>
        </w:rPr>
        <w:t>deCO</w:t>
      </w:r>
      <w:r w:rsidR="00A443DD" w:rsidRPr="006E3091">
        <w:rPr>
          <w:vertAlign w:val="subscript"/>
          <w:lang w:val="el-GR"/>
        </w:rPr>
        <w:t>2</w:t>
      </w:r>
      <w:proofErr w:type="spellEnd"/>
      <w:r w:rsidR="00A443DD" w:rsidRPr="006E3091">
        <w:rPr>
          <w:lang w:val="el-GR"/>
        </w:rPr>
        <w:t>)</w:t>
      </w:r>
      <w:r w:rsidR="00A443DD" w:rsidRPr="006E3091">
        <w:rPr>
          <w:color w:val="222222"/>
          <w:lang w:val="el-GR"/>
        </w:rPr>
        <w:t xml:space="preserve"> και λιγότερο μέσω </w:t>
      </w:r>
      <w:proofErr w:type="spellStart"/>
      <w:r w:rsidR="00A443DD" w:rsidRPr="006E3091">
        <w:rPr>
          <w:color w:val="222222"/>
          <w:lang w:val="el-GR"/>
        </w:rPr>
        <w:t>υδρογονοαποξυγόνωσης</w:t>
      </w:r>
      <w:proofErr w:type="spellEnd"/>
      <w:r w:rsidR="00A443DD" w:rsidRPr="006E3091">
        <w:rPr>
          <w:color w:val="222222"/>
          <w:lang w:val="el-GR"/>
        </w:rPr>
        <w:t xml:space="preserve"> (Η</w:t>
      </w:r>
      <w:r w:rsidR="00A443DD" w:rsidRPr="006E3091">
        <w:rPr>
          <w:color w:val="222222"/>
        </w:rPr>
        <w:t>DO</w:t>
      </w:r>
      <w:r w:rsidR="00A443DD" w:rsidRPr="006E3091">
        <w:rPr>
          <w:color w:val="222222"/>
          <w:lang w:val="el-GR"/>
        </w:rPr>
        <w:t>) πάνω σε μεταλλικούς καταλύτες νικελίου. Η κύρια διαδρομή (</w:t>
      </w:r>
      <w:proofErr w:type="spellStart"/>
      <w:r w:rsidR="00A443DD" w:rsidRPr="006E3091">
        <w:rPr>
          <w:color w:val="222222"/>
        </w:rPr>
        <w:t>deCO</w:t>
      </w:r>
      <w:proofErr w:type="spellEnd"/>
      <w:r w:rsidR="00A443DD" w:rsidRPr="006E3091">
        <w:rPr>
          <w:color w:val="222222"/>
          <w:lang w:val="el-GR"/>
        </w:rPr>
        <w:t xml:space="preserve">) περιλαμβάνει την υδρογόνωση των διπλών δεσμών </w:t>
      </w:r>
      <w:r w:rsidR="00A443DD" w:rsidRPr="006E3091">
        <w:rPr>
          <w:color w:val="222222"/>
        </w:rPr>
        <w:t>C</w:t>
      </w:r>
      <w:r w:rsidR="00A443DD" w:rsidRPr="006E3091">
        <w:rPr>
          <w:color w:val="222222"/>
          <w:lang w:val="el-GR"/>
        </w:rPr>
        <w:t>=</w:t>
      </w:r>
      <w:r w:rsidR="00A443DD" w:rsidRPr="006E3091">
        <w:rPr>
          <w:color w:val="222222"/>
        </w:rPr>
        <w:t>C</w:t>
      </w:r>
      <w:r w:rsidR="00A443DD" w:rsidRPr="006E3091">
        <w:rPr>
          <w:color w:val="222222"/>
          <w:lang w:val="el-GR"/>
        </w:rPr>
        <w:t xml:space="preserve"> των ακόρεστων λιπαρών </w:t>
      </w:r>
      <w:r w:rsidR="00A443DD" w:rsidRPr="006E3091">
        <w:rPr>
          <w:color w:val="222222"/>
          <w:lang w:val="el-GR"/>
        </w:rPr>
        <w:lastRenderedPageBreak/>
        <w:t xml:space="preserve">αλυσίδων, την προοδευτική </w:t>
      </w:r>
      <w:proofErr w:type="spellStart"/>
      <w:r w:rsidR="00A443DD" w:rsidRPr="006E3091">
        <w:rPr>
          <w:color w:val="222222"/>
          <w:lang w:val="el-GR"/>
        </w:rPr>
        <w:t>υδρογονόλυση</w:t>
      </w:r>
      <w:proofErr w:type="spellEnd"/>
      <w:r w:rsidR="00A443DD" w:rsidRPr="006E3091">
        <w:rPr>
          <w:color w:val="222222"/>
          <w:lang w:val="el-GR"/>
        </w:rPr>
        <w:t xml:space="preserve"> των δεσμών </w:t>
      </w:r>
      <w:r w:rsidR="00A443DD" w:rsidRPr="006E3091">
        <w:rPr>
          <w:color w:val="222222"/>
        </w:rPr>
        <w:t>C</w:t>
      </w:r>
      <w:r w:rsidR="006E3091" w:rsidRPr="006E3091">
        <w:rPr>
          <w:color w:val="222222"/>
          <w:lang w:val="el-GR"/>
        </w:rPr>
        <w:t>-</w:t>
      </w:r>
      <w:r w:rsidR="00A443DD" w:rsidRPr="006E3091">
        <w:rPr>
          <w:color w:val="222222"/>
        </w:rPr>
        <w:t>O</w:t>
      </w:r>
      <w:r w:rsidR="00A443DD" w:rsidRPr="006E3091">
        <w:rPr>
          <w:color w:val="222222"/>
          <w:lang w:val="el-GR"/>
        </w:rPr>
        <w:t xml:space="preserve"> για να σχηματίσουν κορ</w:t>
      </w:r>
      <w:r w:rsidR="006E3091" w:rsidRPr="006E3091">
        <w:rPr>
          <w:color w:val="222222"/>
          <w:lang w:val="el-GR"/>
        </w:rPr>
        <w:t>εσμένα λιπαρά οξέα και τελικά</w:t>
      </w:r>
      <w:r w:rsidR="00A443DD" w:rsidRPr="006E3091">
        <w:rPr>
          <w:color w:val="222222"/>
          <w:lang w:val="el-GR"/>
        </w:rPr>
        <w:t xml:space="preserve"> προπάνιο, τη</w:t>
      </w:r>
      <w:r w:rsidR="006E3091" w:rsidRPr="006E3091">
        <w:rPr>
          <w:color w:val="222222"/>
          <w:lang w:val="el-GR"/>
        </w:rPr>
        <w:t>ν</w:t>
      </w:r>
      <w:r w:rsidR="00A443DD" w:rsidRPr="006E3091">
        <w:rPr>
          <w:color w:val="222222"/>
          <w:lang w:val="el-GR"/>
        </w:rPr>
        <w:t xml:space="preserve"> </w:t>
      </w:r>
      <w:r w:rsidR="006E3091" w:rsidRPr="006E3091">
        <w:rPr>
          <w:color w:val="222222"/>
          <w:lang w:val="el-GR"/>
        </w:rPr>
        <w:t>αναγωγή</w:t>
      </w:r>
      <w:r w:rsidR="00A443DD" w:rsidRPr="006E3091">
        <w:rPr>
          <w:color w:val="222222"/>
          <w:lang w:val="el-GR"/>
        </w:rPr>
        <w:t xml:space="preserve"> των κορεσμένων λιπαρών οξέων για να σχηματίσουν αλδεΰδες </w:t>
      </w:r>
      <w:r w:rsidR="006E3091" w:rsidRPr="006E3091">
        <w:rPr>
          <w:color w:val="222222"/>
          <w:lang w:val="el-GR"/>
        </w:rPr>
        <w:t xml:space="preserve">(οι οποίες </w:t>
      </w:r>
      <w:r w:rsidR="00A443DD" w:rsidRPr="006E3091">
        <w:rPr>
          <w:color w:val="222222"/>
          <w:lang w:val="el-GR"/>
        </w:rPr>
        <w:t xml:space="preserve">βρίσκονται σε ισορροπία με </w:t>
      </w:r>
      <w:r w:rsidR="006E3091" w:rsidRPr="006E3091">
        <w:rPr>
          <w:color w:val="222222"/>
          <w:lang w:val="el-GR"/>
        </w:rPr>
        <w:t xml:space="preserve">τις αντίστοιχες αλκοόλες) και την </w:t>
      </w:r>
      <w:proofErr w:type="spellStart"/>
      <w:r w:rsidR="006E3091" w:rsidRPr="006E3091">
        <w:rPr>
          <w:color w:val="222222"/>
          <w:lang w:val="el-GR"/>
        </w:rPr>
        <w:t>αποκαρβονυλίωση</w:t>
      </w:r>
      <w:proofErr w:type="spellEnd"/>
      <w:r w:rsidR="00A443DD" w:rsidRPr="006E3091">
        <w:rPr>
          <w:color w:val="222222"/>
          <w:lang w:val="el-GR"/>
        </w:rPr>
        <w:t xml:space="preserve"> των αλδεϋδών για την παραγωγή κορεσμένων υδρογονανθράκων. Η δεύτερη οδός (</w:t>
      </w:r>
      <w:r w:rsidR="00A443DD" w:rsidRPr="006E3091">
        <w:rPr>
          <w:color w:val="222222"/>
        </w:rPr>
        <w:t>HDO</w:t>
      </w:r>
      <w:r w:rsidR="00A443DD" w:rsidRPr="006E3091">
        <w:rPr>
          <w:color w:val="222222"/>
          <w:lang w:val="el-GR"/>
        </w:rPr>
        <w:t xml:space="preserve">) περιλαμβάνει τα προαναφερθέντα στάδια που οδηγούν στον σχηματισμό των ενδιάμεσων αλκοολών, η αφυδάτωση των οποίων στις </w:t>
      </w:r>
      <w:r w:rsidR="006E3091" w:rsidRPr="006E3091">
        <w:rPr>
          <w:color w:val="222222"/>
          <w:lang w:val="el-GR"/>
        </w:rPr>
        <w:t xml:space="preserve">όξινες </w:t>
      </w:r>
      <w:r w:rsidR="00A443DD" w:rsidRPr="006E3091">
        <w:rPr>
          <w:color w:val="222222"/>
          <w:lang w:val="el-GR"/>
        </w:rPr>
        <w:t xml:space="preserve">θέσεις </w:t>
      </w:r>
      <w:r w:rsidR="006E3091" w:rsidRPr="006E3091">
        <w:rPr>
          <w:color w:val="222222"/>
          <w:lang w:val="el-GR"/>
        </w:rPr>
        <w:t>τ</w:t>
      </w:r>
      <w:r w:rsidR="006E3091">
        <w:rPr>
          <w:color w:val="222222"/>
          <w:lang w:val="el-GR"/>
        </w:rPr>
        <w:t>ου</w:t>
      </w:r>
      <w:r w:rsidR="006E3091" w:rsidRPr="006E3091">
        <w:rPr>
          <w:color w:val="222222"/>
          <w:lang w:val="el-GR"/>
        </w:rPr>
        <w:t xml:space="preserve"> </w:t>
      </w:r>
      <w:r w:rsidR="006E3091">
        <w:rPr>
          <w:color w:val="222222"/>
          <w:lang w:val="el-GR"/>
        </w:rPr>
        <w:t>φορέα</w:t>
      </w:r>
      <w:r w:rsidR="006E3091" w:rsidRPr="006E3091">
        <w:rPr>
          <w:color w:val="222222"/>
          <w:lang w:val="el-GR"/>
        </w:rPr>
        <w:t>,</w:t>
      </w:r>
      <w:r w:rsidR="00A443DD" w:rsidRPr="006E3091">
        <w:rPr>
          <w:color w:val="222222"/>
          <w:lang w:val="el-GR"/>
        </w:rPr>
        <w:t xml:space="preserve"> ακολουθούμενη από την υδρογόνωσ</w:t>
      </w:r>
      <w:r w:rsidR="006E3091" w:rsidRPr="006E3091">
        <w:rPr>
          <w:color w:val="222222"/>
          <w:lang w:val="el-GR"/>
        </w:rPr>
        <w:t>η των αλκενίων που προκύπτουν στις</w:t>
      </w:r>
      <w:r w:rsidR="00A443DD" w:rsidRPr="006E3091">
        <w:rPr>
          <w:color w:val="222222"/>
          <w:lang w:val="el-GR"/>
        </w:rPr>
        <w:t xml:space="preserve"> θέσεις</w:t>
      </w:r>
      <w:r w:rsidR="006E3091" w:rsidRPr="006E3091">
        <w:rPr>
          <w:color w:val="222222"/>
          <w:lang w:val="el-GR"/>
        </w:rPr>
        <w:t xml:space="preserve"> του</w:t>
      </w:r>
      <w:r w:rsidR="00A443DD" w:rsidRPr="006E3091">
        <w:rPr>
          <w:color w:val="222222"/>
          <w:lang w:val="el-GR"/>
        </w:rPr>
        <w:t xml:space="preserve"> νικελίου</w:t>
      </w:r>
      <w:r w:rsidR="006E3091" w:rsidRPr="006E3091">
        <w:rPr>
          <w:color w:val="222222"/>
          <w:lang w:val="el-GR"/>
        </w:rPr>
        <w:t>,</w:t>
      </w:r>
      <w:r w:rsidR="00A443DD" w:rsidRPr="006E3091">
        <w:rPr>
          <w:color w:val="222222"/>
          <w:lang w:val="el-GR"/>
        </w:rPr>
        <w:t xml:space="preserve"> οδηγεί στην παρ</w:t>
      </w:r>
      <w:r w:rsidR="006E3091" w:rsidRPr="006E3091">
        <w:rPr>
          <w:color w:val="222222"/>
          <w:lang w:val="el-GR"/>
        </w:rPr>
        <w:t xml:space="preserve">αγωγή τελικών </w:t>
      </w:r>
      <w:proofErr w:type="spellStart"/>
      <w:r w:rsidR="006E3091" w:rsidRPr="006E3091">
        <w:rPr>
          <w:color w:val="222222"/>
          <w:lang w:val="el-GR"/>
        </w:rPr>
        <w:t>αλκανίων</w:t>
      </w:r>
      <w:proofErr w:type="spellEnd"/>
      <w:r w:rsidR="006E3091" w:rsidRPr="006E3091">
        <w:rPr>
          <w:color w:val="222222"/>
          <w:lang w:val="el-GR"/>
        </w:rPr>
        <w:t xml:space="preserve"> [</w:t>
      </w:r>
      <w:r w:rsidR="006E3091">
        <w:rPr>
          <w:color w:val="222222"/>
          <w:lang w:val="el-GR"/>
        </w:rPr>
        <w:t>9-11</w:t>
      </w:r>
      <w:r w:rsidR="00A443DD" w:rsidRPr="006E3091">
        <w:rPr>
          <w:color w:val="222222"/>
          <w:lang w:val="el-GR"/>
        </w:rPr>
        <w:t>].</w:t>
      </w:r>
    </w:p>
    <w:p w:rsidR="005D1154" w:rsidRPr="00A54EE9" w:rsidRDefault="009C46BB" w:rsidP="00EA051A">
      <w:pPr>
        <w:tabs>
          <w:tab w:val="num" w:pos="720"/>
        </w:tabs>
        <w:ind w:right="-58"/>
        <w:jc w:val="both"/>
        <w:rPr>
          <w:lang w:val="el-GR"/>
        </w:rPr>
      </w:pPr>
      <w:r>
        <w:rPr>
          <w:lang w:val="el-GR"/>
        </w:rPr>
        <w:tab/>
        <w:t xml:space="preserve">Τα αποτελέσματά μας συμφωνούν με τα παραπάνω, καθώς όπως είδαμε στα προϊόντα της αντίδρασής μας ανιχνεύεται κυρίως </w:t>
      </w:r>
      <w:r w:rsidRPr="00BD710D">
        <w:rPr>
          <w:lang w:val="el-GR"/>
        </w:rPr>
        <w:t xml:space="preserve">n-C17 </w:t>
      </w:r>
      <w:r>
        <w:rPr>
          <w:lang w:val="el-GR"/>
        </w:rPr>
        <w:t xml:space="preserve">και πολύ λιγότερο </w:t>
      </w:r>
      <w:r w:rsidRPr="00BD710D">
        <w:rPr>
          <w:lang w:val="el-GR"/>
        </w:rPr>
        <w:t>n-C18</w:t>
      </w:r>
      <w:r>
        <w:rPr>
          <w:lang w:val="el-GR"/>
        </w:rPr>
        <w:t xml:space="preserve">. </w:t>
      </w:r>
      <w:r w:rsidRPr="009C46BB">
        <w:rPr>
          <w:lang w:val="el-GR"/>
        </w:rPr>
        <w:t xml:space="preserve">Επιπλέον, η παρατήρηση ότι η απόδοση στα οξέα αυξάνεται αρχικά και στη συνέχεια μειώνεται (Σχήμα 7) δείχνει ότι αυτά είναι ενδιάμεσα προϊόντα. Ακόμα, η ταυτοποίηση μόνο κορεσμένων οξέων (στεατικό οξύ και μικρές ποσότητες </w:t>
      </w:r>
      <w:proofErr w:type="spellStart"/>
      <w:r w:rsidRPr="009C46BB">
        <w:rPr>
          <w:lang w:val="el-GR"/>
        </w:rPr>
        <w:t>παλμιτικού</w:t>
      </w:r>
      <w:proofErr w:type="spellEnd"/>
      <w:r w:rsidRPr="009C46BB">
        <w:rPr>
          <w:lang w:val="el-GR"/>
        </w:rPr>
        <w:t xml:space="preserve"> οξέος) επιβεβαιώνει την υ</w:t>
      </w:r>
      <w:r>
        <w:rPr>
          <w:lang w:val="el-GR"/>
        </w:rPr>
        <w:t>δρογόνωση των διπλών δεσμών C=</w:t>
      </w:r>
      <w:r w:rsidRPr="009C46BB">
        <w:rPr>
          <w:lang w:val="el-GR"/>
        </w:rPr>
        <w:t xml:space="preserve">C των ακόρεστων λιπαρών αλυσίδων των φυσικών </w:t>
      </w:r>
      <w:proofErr w:type="spellStart"/>
      <w:r w:rsidRPr="009C46BB">
        <w:rPr>
          <w:lang w:val="el-GR"/>
        </w:rPr>
        <w:t>τριγλυκεριδίων</w:t>
      </w:r>
      <w:proofErr w:type="spellEnd"/>
      <w:r w:rsidRPr="009C46BB">
        <w:rPr>
          <w:lang w:val="el-GR"/>
        </w:rPr>
        <w:t xml:space="preserve"> του </w:t>
      </w:r>
      <w:proofErr w:type="spellStart"/>
      <w:r w:rsidRPr="009C46BB">
        <w:rPr>
          <w:lang w:val="el-GR"/>
        </w:rPr>
        <w:t>ηλιελαίου</w:t>
      </w:r>
      <w:proofErr w:type="spellEnd"/>
      <w:r w:rsidRPr="009C46BB">
        <w:rPr>
          <w:lang w:val="el-GR"/>
        </w:rPr>
        <w:t xml:space="preserve">. Η παρουσία πολύ μικρών ποσοτήτων </w:t>
      </w:r>
      <w:proofErr w:type="spellStart"/>
      <w:r w:rsidRPr="009C46BB">
        <w:rPr>
          <w:lang w:val="el-GR"/>
        </w:rPr>
        <w:t>αιθυλεστέρων</w:t>
      </w:r>
      <w:proofErr w:type="spellEnd"/>
      <w:r w:rsidRPr="009C46BB">
        <w:rPr>
          <w:lang w:val="el-GR"/>
        </w:rPr>
        <w:t xml:space="preserve"> και </w:t>
      </w:r>
      <w:proofErr w:type="spellStart"/>
      <w:r w:rsidRPr="009C46BB">
        <w:rPr>
          <w:lang w:val="el-GR"/>
        </w:rPr>
        <w:t>προπυλεστέρων</w:t>
      </w:r>
      <w:proofErr w:type="spellEnd"/>
      <w:r w:rsidRPr="009C46BB">
        <w:rPr>
          <w:lang w:val="el-GR"/>
        </w:rPr>
        <w:t xml:space="preserve"> στα προϊόντα οφείλεται στη βαθμιαία </w:t>
      </w:r>
      <w:proofErr w:type="spellStart"/>
      <w:r w:rsidRPr="009C46BB">
        <w:rPr>
          <w:lang w:val="el-GR"/>
        </w:rPr>
        <w:t>υδρογονόλυση</w:t>
      </w:r>
      <w:proofErr w:type="spellEnd"/>
      <w:r w:rsidRPr="009C46BB">
        <w:rPr>
          <w:lang w:val="el-GR"/>
        </w:rPr>
        <w:t xml:space="preserve"> των φυσικών </w:t>
      </w:r>
      <w:proofErr w:type="spellStart"/>
      <w:r w:rsidRPr="009C46BB">
        <w:rPr>
          <w:lang w:val="el-GR"/>
        </w:rPr>
        <w:t>τριγλυκεριδίων</w:t>
      </w:r>
      <w:proofErr w:type="spellEnd"/>
      <w:r w:rsidRPr="009C46BB">
        <w:rPr>
          <w:lang w:val="el-GR"/>
        </w:rPr>
        <w:t xml:space="preserve">. Από την άλλη πλευρά, η παρουσία μεγαλύτερων εστέρων λιπαρών οξέων στα προϊόντα και η παρατήρηση ότι η απόδοση τους αρχικά αυξάνει και στη συνέχεια μειώνεται (Σχήμα 7), δείχνει ότι αυτά </w:t>
      </w:r>
      <w:r w:rsidRPr="00A54EE9">
        <w:rPr>
          <w:lang w:val="el-GR"/>
        </w:rPr>
        <w:t xml:space="preserve">είναι επίσης ενδιάμεσα προϊόντα. Μπορούμε να φανταστούμε ότι </w:t>
      </w:r>
      <w:r w:rsidRPr="00A54EE9">
        <w:rPr>
          <w:color w:val="222222"/>
          <w:lang w:val="el-GR"/>
        </w:rPr>
        <w:t xml:space="preserve">αυτά αρχικά παράγονται με </w:t>
      </w:r>
      <w:proofErr w:type="spellStart"/>
      <w:r w:rsidRPr="00A54EE9">
        <w:rPr>
          <w:color w:val="222222"/>
          <w:lang w:val="el-GR"/>
        </w:rPr>
        <w:t>εστεροποίηση</w:t>
      </w:r>
      <w:proofErr w:type="spellEnd"/>
      <w:r w:rsidRPr="00A54EE9">
        <w:rPr>
          <w:color w:val="222222"/>
          <w:lang w:val="el-GR"/>
        </w:rPr>
        <w:t xml:space="preserve"> των ενδιάμεσων λιπαρών οξέων και αλκοολών και κατόπιν μετατρέπονται σε υδρογονάνθρακες μέσω της εκλεκτικής </w:t>
      </w:r>
      <w:proofErr w:type="spellStart"/>
      <w:r w:rsidRPr="00A54EE9">
        <w:rPr>
          <w:color w:val="222222"/>
          <w:lang w:val="el-GR"/>
        </w:rPr>
        <w:t>αποξυγόνωσης</w:t>
      </w:r>
      <w:proofErr w:type="spellEnd"/>
      <w:r w:rsidRPr="00A54EE9">
        <w:rPr>
          <w:color w:val="222222"/>
          <w:lang w:val="el-GR"/>
        </w:rPr>
        <w:t xml:space="preserve">. Η παρουσία μικρών ποσοτήτων </w:t>
      </w:r>
      <w:r w:rsidRPr="00A54EE9">
        <w:rPr>
          <w:color w:val="222222"/>
        </w:rPr>
        <w:t>CO</w:t>
      </w:r>
      <w:r w:rsidRPr="00A54EE9">
        <w:rPr>
          <w:color w:val="222222"/>
          <w:vertAlign w:val="subscript"/>
          <w:lang w:val="el-GR"/>
        </w:rPr>
        <w:t>2</w:t>
      </w:r>
      <w:r w:rsidRPr="00A54EE9">
        <w:rPr>
          <w:color w:val="222222"/>
          <w:lang w:val="el-GR"/>
        </w:rPr>
        <w:t xml:space="preserve"> στην αέρια φάση δεν μπορεί να αποκλείσει μια</w:t>
      </w:r>
      <w:r w:rsidR="00A54EE9">
        <w:rPr>
          <w:color w:val="222222"/>
          <w:lang w:val="el-GR"/>
        </w:rPr>
        <w:t>,</w:t>
      </w:r>
      <w:r w:rsidRPr="00A54EE9">
        <w:rPr>
          <w:color w:val="222222"/>
          <w:lang w:val="el-GR"/>
        </w:rPr>
        <w:t xml:space="preserve"> μικρής έκτασης</w:t>
      </w:r>
      <w:r w:rsidR="00A54EE9">
        <w:rPr>
          <w:color w:val="222222"/>
          <w:lang w:val="el-GR"/>
        </w:rPr>
        <w:t xml:space="preserve">, άμεση </w:t>
      </w:r>
      <w:proofErr w:type="spellStart"/>
      <w:r w:rsidR="00A54EE9">
        <w:rPr>
          <w:color w:val="222222"/>
          <w:lang w:val="el-GR"/>
        </w:rPr>
        <w:t>αποκαρβοξυλίωση</w:t>
      </w:r>
      <w:proofErr w:type="spellEnd"/>
      <w:r w:rsidRPr="00A54EE9">
        <w:rPr>
          <w:color w:val="222222"/>
          <w:lang w:val="el-GR"/>
        </w:rPr>
        <w:t xml:space="preserve"> των ενδιάμεσων οξέων. Λαμβάνοντας υπόψη τη σχετική βιβλιογραφία [4], καθώς και τις προαναφερθείσες πειραματικές παρατηρήσεις μας, μπορούμε να ισχυριστούμε ότι ο μηχανισμός που ακολουθείται </w:t>
      </w:r>
      <w:r w:rsidR="00A54EE9" w:rsidRPr="00A54EE9">
        <w:rPr>
          <w:color w:val="222222"/>
          <w:lang w:val="el-GR"/>
        </w:rPr>
        <w:t xml:space="preserve">κατά την εκλεκτική </w:t>
      </w:r>
      <w:proofErr w:type="spellStart"/>
      <w:r w:rsidR="00A54EE9" w:rsidRPr="00A54EE9">
        <w:rPr>
          <w:color w:val="222222"/>
          <w:lang w:val="el-GR"/>
        </w:rPr>
        <w:t>αποξυγόνωση</w:t>
      </w:r>
      <w:proofErr w:type="spellEnd"/>
      <w:r w:rsidR="00A54EE9" w:rsidRPr="00A54EE9">
        <w:rPr>
          <w:color w:val="222222"/>
          <w:lang w:val="el-GR"/>
        </w:rPr>
        <w:t xml:space="preserve"> των φυσικών </w:t>
      </w:r>
      <w:proofErr w:type="spellStart"/>
      <w:r w:rsidR="00A54EE9" w:rsidRPr="00A54EE9">
        <w:rPr>
          <w:color w:val="222222"/>
          <w:lang w:val="el-GR"/>
        </w:rPr>
        <w:t>τριγλυκεριδίων</w:t>
      </w:r>
      <w:proofErr w:type="spellEnd"/>
      <w:r w:rsidR="00A54EE9" w:rsidRPr="00A54EE9">
        <w:rPr>
          <w:color w:val="222222"/>
          <w:lang w:val="el-GR"/>
        </w:rPr>
        <w:t xml:space="preserve"> του </w:t>
      </w:r>
      <w:proofErr w:type="spellStart"/>
      <w:r w:rsidR="00A54EE9" w:rsidRPr="00A54EE9">
        <w:rPr>
          <w:color w:val="222222"/>
          <w:lang w:val="el-GR"/>
        </w:rPr>
        <w:t>ηλιελαίου</w:t>
      </w:r>
      <w:proofErr w:type="spellEnd"/>
      <w:r w:rsidR="00A54EE9" w:rsidRPr="00A54EE9">
        <w:rPr>
          <w:color w:val="222222"/>
          <w:lang w:val="el-GR"/>
        </w:rPr>
        <w:t xml:space="preserve"> πάνω σ</w:t>
      </w:r>
      <w:r w:rsidRPr="00A54EE9">
        <w:rPr>
          <w:color w:val="222222"/>
          <w:lang w:val="el-GR"/>
        </w:rPr>
        <w:t xml:space="preserve">τους καταλύτες </w:t>
      </w:r>
      <w:r w:rsidR="00A54EE9" w:rsidRPr="00A54EE9">
        <w:rPr>
          <w:color w:val="222222"/>
          <w:lang w:val="el-GR"/>
        </w:rPr>
        <w:t xml:space="preserve">μας είναι παρόμοιος με αυτόν που προτάθηκε σε πολύ πρόσφατο άρθρο, το οποίο μελετά καταλύτες </w:t>
      </w:r>
      <w:r w:rsidR="00A54EE9" w:rsidRPr="00A54EE9">
        <w:rPr>
          <w:color w:val="222222"/>
          <w:lang w:val="en-US"/>
        </w:rPr>
        <w:t>Ni</w:t>
      </w:r>
      <w:r w:rsidR="00A54EE9" w:rsidRPr="00A54EE9">
        <w:rPr>
          <w:color w:val="222222"/>
          <w:lang w:val="el-GR"/>
        </w:rPr>
        <w:t>/</w:t>
      </w:r>
      <w:r w:rsidR="00A54EE9" w:rsidRPr="00A54EE9">
        <w:rPr>
          <w:color w:val="222222"/>
          <w:lang w:val="en-US"/>
        </w:rPr>
        <w:t>Al</w:t>
      </w:r>
      <w:r w:rsidR="00A54EE9" w:rsidRPr="00A54EE9">
        <w:rPr>
          <w:color w:val="222222"/>
          <w:vertAlign w:val="subscript"/>
          <w:lang w:val="el-GR"/>
        </w:rPr>
        <w:t>2</w:t>
      </w:r>
      <w:r w:rsidR="00A54EE9" w:rsidRPr="00A54EE9">
        <w:rPr>
          <w:color w:val="222222"/>
          <w:lang w:val="en-US"/>
        </w:rPr>
        <w:t>O</w:t>
      </w:r>
      <w:r w:rsidR="00A54EE9" w:rsidRPr="00A54EE9">
        <w:rPr>
          <w:color w:val="222222"/>
          <w:vertAlign w:val="subscript"/>
          <w:lang w:val="el-GR"/>
        </w:rPr>
        <w:t>3</w:t>
      </w:r>
      <w:r w:rsidR="00A54EE9" w:rsidRPr="00A54EE9">
        <w:rPr>
          <w:color w:val="222222"/>
          <w:lang w:val="el-GR"/>
        </w:rPr>
        <w:t xml:space="preserve"> στην ίδια διεργασία</w:t>
      </w:r>
      <w:r w:rsidR="000F3870" w:rsidRPr="000F3870">
        <w:rPr>
          <w:color w:val="222222"/>
          <w:lang w:val="el-GR"/>
        </w:rPr>
        <w:t xml:space="preserve"> [12]</w:t>
      </w:r>
      <w:r w:rsidR="00A54EE9" w:rsidRPr="00A54EE9">
        <w:rPr>
          <w:color w:val="222222"/>
          <w:lang w:val="el-GR"/>
        </w:rPr>
        <w:t>. Μια σχηματική αναπαράσταση του μηχανισμού δίνεται στο σχήμα 8.</w:t>
      </w:r>
    </w:p>
    <w:p w:rsidR="005D1154" w:rsidRPr="00A54EE9" w:rsidRDefault="005D1154" w:rsidP="00EA051A">
      <w:pPr>
        <w:tabs>
          <w:tab w:val="num" w:pos="720"/>
        </w:tabs>
        <w:ind w:right="-58"/>
        <w:jc w:val="both"/>
        <w:rPr>
          <w:lang w:val="el-GR"/>
        </w:rPr>
      </w:pPr>
    </w:p>
    <w:p w:rsidR="005D1154" w:rsidRPr="006E3091" w:rsidRDefault="001079C2" w:rsidP="001079C2">
      <w:pPr>
        <w:tabs>
          <w:tab w:val="num" w:pos="720"/>
        </w:tabs>
        <w:ind w:right="-58"/>
        <w:jc w:val="center"/>
        <w:rPr>
          <w:lang w:val="el-GR"/>
        </w:rPr>
      </w:pPr>
      <w:r w:rsidRPr="001079C2">
        <w:drawing>
          <wp:inline distT="0" distB="0" distL="0" distR="0">
            <wp:extent cx="3838575" cy="2571750"/>
            <wp:effectExtent l="19050" t="0" r="9525" b="0"/>
            <wp:docPr id="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l="1225" t="1818"/>
                    <a:stretch>
                      <a:fillRect/>
                    </a:stretch>
                  </pic:blipFill>
                  <pic:spPr bwMode="auto">
                    <a:xfrm>
                      <a:off x="0" y="0"/>
                      <a:ext cx="3838575" cy="2571750"/>
                    </a:xfrm>
                    <a:prstGeom prst="rect">
                      <a:avLst/>
                    </a:prstGeom>
                    <a:noFill/>
                    <a:ln w="9525">
                      <a:noFill/>
                      <a:miter lim="800000"/>
                      <a:headEnd/>
                      <a:tailEnd/>
                    </a:ln>
                  </pic:spPr>
                </pic:pic>
              </a:graphicData>
            </a:graphic>
          </wp:inline>
        </w:drawing>
      </w:r>
    </w:p>
    <w:p w:rsidR="005D1154" w:rsidRPr="00657A97" w:rsidRDefault="00C80813" w:rsidP="00EA051A">
      <w:pPr>
        <w:tabs>
          <w:tab w:val="num" w:pos="720"/>
        </w:tabs>
        <w:ind w:right="-58"/>
        <w:jc w:val="both"/>
        <w:rPr>
          <w:lang w:val="el-GR"/>
        </w:rPr>
      </w:pPr>
      <w:r w:rsidRPr="00657A97">
        <w:rPr>
          <w:b/>
          <w:lang w:val="el-GR"/>
        </w:rPr>
        <w:t>Σχήμα 8</w:t>
      </w:r>
      <w:r w:rsidRPr="00657A97">
        <w:rPr>
          <w:lang w:val="el-GR"/>
        </w:rPr>
        <w:t xml:space="preserve">. </w:t>
      </w:r>
      <w:r w:rsidR="00BA2579" w:rsidRPr="00657A97">
        <w:rPr>
          <w:color w:val="222222"/>
          <w:lang w:val="el-GR"/>
        </w:rPr>
        <w:t>Μηχανιστικό σχήμα</w:t>
      </w:r>
      <w:r w:rsidR="000F3870" w:rsidRPr="00657A97">
        <w:rPr>
          <w:color w:val="222222"/>
          <w:lang w:val="el-GR"/>
        </w:rPr>
        <w:t xml:space="preserve"> για την </w:t>
      </w:r>
      <w:r w:rsidR="00BA2579" w:rsidRPr="00657A97">
        <w:rPr>
          <w:color w:val="222222"/>
          <w:lang w:val="el-GR"/>
        </w:rPr>
        <w:t xml:space="preserve">εκλεκτική </w:t>
      </w:r>
      <w:proofErr w:type="spellStart"/>
      <w:r w:rsidR="00BA2579" w:rsidRPr="00657A97">
        <w:rPr>
          <w:color w:val="222222"/>
          <w:lang w:val="el-GR"/>
        </w:rPr>
        <w:t>αποξυγόνωση</w:t>
      </w:r>
      <w:proofErr w:type="spellEnd"/>
      <w:r w:rsidR="00BA2579" w:rsidRPr="00657A97">
        <w:rPr>
          <w:color w:val="222222"/>
          <w:lang w:val="el-GR"/>
        </w:rPr>
        <w:t xml:space="preserve"> των φυσικών </w:t>
      </w:r>
      <w:proofErr w:type="spellStart"/>
      <w:r w:rsidR="00BA2579" w:rsidRPr="00657A97">
        <w:rPr>
          <w:color w:val="222222"/>
          <w:lang w:val="el-GR"/>
        </w:rPr>
        <w:t>τριγλυκεριδίων</w:t>
      </w:r>
      <w:proofErr w:type="spellEnd"/>
      <w:r w:rsidR="00BA2579" w:rsidRPr="00657A97">
        <w:rPr>
          <w:color w:val="222222"/>
          <w:lang w:val="el-GR"/>
        </w:rPr>
        <w:t xml:space="preserve"> του </w:t>
      </w:r>
      <w:proofErr w:type="spellStart"/>
      <w:r w:rsidR="00BA2579" w:rsidRPr="00657A97">
        <w:rPr>
          <w:color w:val="222222"/>
          <w:lang w:val="el-GR"/>
        </w:rPr>
        <w:t>ηλιελαίου</w:t>
      </w:r>
      <w:proofErr w:type="spellEnd"/>
      <w:r w:rsidR="00BA2579" w:rsidRPr="00657A97">
        <w:rPr>
          <w:color w:val="222222"/>
          <w:lang w:val="el-GR"/>
        </w:rPr>
        <w:t xml:space="preserve">, παρουσία των καταλυτών που μελετήθηκαν σε αυτή την εργασία. </w:t>
      </w:r>
      <w:r w:rsidR="000F3870" w:rsidRPr="00657A97">
        <w:rPr>
          <w:color w:val="222222"/>
        </w:rPr>
        <w:t>TG</w:t>
      </w:r>
      <w:r w:rsidR="000F3870" w:rsidRPr="00657A97">
        <w:rPr>
          <w:color w:val="222222"/>
          <w:lang w:val="el-GR"/>
        </w:rPr>
        <w:t xml:space="preserve">: φυσικό </w:t>
      </w:r>
      <w:proofErr w:type="spellStart"/>
      <w:r w:rsidR="000F3870" w:rsidRPr="00657A97">
        <w:rPr>
          <w:color w:val="222222"/>
          <w:lang w:val="el-GR"/>
        </w:rPr>
        <w:t>τριγλυκερίδιο</w:t>
      </w:r>
      <w:proofErr w:type="spellEnd"/>
      <w:r w:rsidR="000F3870" w:rsidRPr="00657A97">
        <w:rPr>
          <w:color w:val="222222"/>
          <w:lang w:val="el-GR"/>
        </w:rPr>
        <w:t xml:space="preserve">, </w:t>
      </w:r>
      <w:proofErr w:type="spellStart"/>
      <w:r w:rsidR="000F3870" w:rsidRPr="00657A97">
        <w:rPr>
          <w:color w:val="222222"/>
        </w:rPr>
        <w:t>TGsat</w:t>
      </w:r>
      <w:proofErr w:type="spellEnd"/>
      <w:r w:rsidR="000F3870" w:rsidRPr="00657A97">
        <w:rPr>
          <w:color w:val="222222"/>
          <w:lang w:val="el-GR"/>
        </w:rPr>
        <w:t xml:space="preserve">: κορεσμένο φυσικό </w:t>
      </w:r>
      <w:proofErr w:type="spellStart"/>
      <w:r w:rsidR="000F3870" w:rsidRPr="00657A97">
        <w:rPr>
          <w:color w:val="222222"/>
          <w:lang w:val="el-GR"/>
        </w:rPr>
        <w:t>τριγλυκερίδιο</w:t>
      </w:r>
      <w:proofErr w:type="spellEnd"/>
      <w:r w:rsidR="000F3870" w:rsidRPr="00657A97">
        <w:rPr>
          <w:color w:val="222222"/>
          <w:lang w:val="el-GR"/>
        </w:rPr>
        <w:t xml:space="preserve">, </w:t>
      </w:r>
      <w:proofErr w:type="spellStart"/>
      <w:r w:rsidR="000F3870" w:rsidRPr="00657A97">
        <w:rPr>
          <w:color w:val="222222"/>
        </w:rPr>
        <w:t>DGsat</w:t>
      </w:r>
      <w:proofErr w:type="spellEnd"/>
      <w:r w:rsidR="000F3870" w:rsidRPr="00657A97">
        <w:rPr>
          <w:color w:val="222222"/>
          <w:lang w:val="el-GR"/>
        </w:rPr>
        <w:t xml:space="preserve">: κορεσμένο </w:t>
      </w:r>
      <w:proofErr w:type="spellStart"/>
      <w:r w:rsidR="000F3870" w:rsidRPr="00657A97">
        <w:rPr>
          <w:color w:val="222222"/>
          <w:lang w:val="el-GR"/>
        </w:rPr>
        <w:t>διγλυκερίδιο</w:t>
      </w:r>
      <w:proofErr w:type="spellEnd"/>
      <w:r w:rsidR="000F3870" w:rsidRPr="00657A97">
        <w:rPr>
          <w:color w:val="222222"/>
          <w:lang w:val="el-GR"/>
        </w:rPr>
        <w:t xml:space="preserve">, </w:t>
      </w:r>
      <w:proofErr w:type="spellStart"/>
      <w:r w:rsidR="000F3870" w:rsidRPr="00657A97">
        <w:rPr>
          <w:color w:val="222222"/>
        </w:rPr>
        <w:t>MGsat</w:t>
      </w:r>
      <w:proofErr w:type="spellEnd"/>
      <w:r w:rsidR="000F3870" w:rsidRPr="00657A97">
        <w:rPr>
          <w:color w:val="222222"/>
          <w:lang w:val="el-GR"/>
        </w:rPr>
        <w:t xml:space="preserve">: κορεσμένο </w:t>
      </w:r>
      <w:proofErr w:type="spellStart"/>
      <w:r w:rsidR="000F3870" w:rsidRPr="00657A97">
        <w:rPr>
          <w:color w:val="222222"/>
          <w:lang w:val="el-GR"/>
        </w:rPr>
        <w:t>μονογλυκερίδιο</w:t>
      </w:r>
      <w:proofErr w:type="spellEnd"/>
      <w:r w:rsidR="000F3870" w:rsidRPr="00657A97">
        <w:rPr>
          <w:color w:val="222222"/>
          <w:lang w:val="el-GR"/>
        </w:rPr>
        <w:t xml:space="preserve">. ΡΕ: </w:t>
      </w:r>
      <w:proofErr w:type="spellStart"/>
      <w:r w:rsidR="000F3870" w:rsidRPr="00657A97">
        <w:rPr>
          <w:color w:val="222222"/>
          <w:lang w:val="el-GR"/>
        </w:rPr>
        <w:t>προπυλ</w:t>
      </w:r>
      <w:proofErr w:type="spellEnd"/>
      <w:r w:rsidR="000F3870" w:rsidRPr="00657A97">
        <w:rPr>
          <w:color w:val="222222"/>
          <w:lang w:val="el-GR"/>
        </w:rPr>
        <w:t>-εστέ</w:t>
      </w:r>
      <w:r w:rsidR="00657A97" w:rsidRPr="00657A97">
        <w:rPr>
          <w:color w:val="222222"/>
          <w:lang w:val="el-GR"/>
        </w:rPr>
        <w:t xml:space="preserve">ρες, ΕΕ: </w:t>
      </w:r>
      <w:proofErr w:type="spellStart"/>
      <w:r w:rsidR="00657A97" w:rsidRPr="00657A97">
        <w:rPr>
          <w:color w:val="222222"/>
          <w:lang w:val="el-GR"/>
        </w:rPr>
        <w:t>αιθυλ</w:t>
      </w:r>
      <w:proofErr w:type="spellEnd"/>
      <w:r w:rsidR="00657A97" w:rsidRPr="00657A97">
        <w:rPr>
          <w:color w:val="222222"/>
          <w:lang w:val="el-GR"/>
        </w:rPr>
        <w:t>-εστέρες. Οι υπόλοιπες</w:t>
      </w:r>
      <w:r w:rsidR="000F3870" w:rsidRPr="00657A97">
        <w:rPr>
          <w:color w:val="222222"/>
          <w:lang w:val="el-GR"/>
        </w:rPr>
        <w:t xml:space="preserve"> ουσίες συμβολίζονται με τους τυπικούς μοριακούς τύπους τους [12].</w:t>
      </w:r>
    </w:p>
    <w:p w:rsidR="005D1154" w:rsidRPr="006E3091" w:rsidRDefault="005D1154" w:rsidP="00EA051A">
      <w:pPr>
        <w:tabs>
          <w:tab w:val="num" w:pos="720"/>
        </w:tabs>
        <w:ind w:right="-58"/>
        <w:jc w:val="both"/>
        <w:rPr>
          <w:lang w:val="el-GR"/>
        </w:rPr>
      </w:pPr>
    </w:p>
    <w:p w:rsidR="005D1154" w:rsidRPr="006E3091" w:rsidRDefault="005D1154" w:rsidP="00EA051A">
      <w:pPr>
        <w:tabs>
          <w:tab w:val="num" w:pos="720"/>
        </w:tabs>
        <w:ind w:right="-58"/>
        <w:jc w:val="both"/>
        <w:rPr>
          <w:lang w:val="el-GR"/>
        </w:rPr>
      </w:pPr>
    </w:p>
    <w:p w:rsidR="004D14C0" w:rsidRPr="00417108" w:rsidRDefault="004D14C0" w:rsidP="00EA051A">
      <w:pPr>
        <w:tabs>
          <w:tab w:val="num" w:pos="720"/>
        </w:tabs>
        <w:ind w:right="-58"/>
        <w:jc w:val="both"/>
        <w:rPr>
          <w:b/>
          <w:lang w:val="el-GR"/>
        </w:rPr>
      </w:pPr>
      <w:r w:rsidRPr="00417108">
        <w:rPr>
          <w:b/>
          <w:lang w:val="el-GR"/>
        </w:rPr>
        <w:t>Συμπεράσματα</w:t>
      </w:r>
    </w:p>
    <w:p w:rsidR="004D14C0" w:rsidRPr="00417108" w:rsidRDefault="005D7556" w:rsidP="00EA051A">
      <w:pPr>
        <w:tabs>
          <w:tab w:val="num" w:pos="720"/>
        </w:tabs>
        <w:ind w:right="-58"/>
        <w:jc w:val="both"/>
        <w:rPr>
          <w:lang w:val="el-GR"/>
        </w:rPr>
      </w:pPr>
      <w:r w:rsidRPr="00417108">
        <w:rPr>
          <w:lang w:val="el-GR"/>
        </w:rPr>
        <w:t>Τα κυριότερα αποτελέσματα συνοψίζονται στα εξής: (α) η απόδοση των καταλυτών συσχετίζεται καλά με τα χαρακτηριστικά</w:t>
      </w:r>
      <w:r w:rsidR="002172E4">
        <w:rPr>
          <w:lang w:val="el-GR"/>
        </w:rPr>
        <w:t xml:space="preserve"> υφής τους</w:t>
      </w:r>
      <w:r w:rsidRPr="00417108">
        <w:rPr>
          <w:lang w:val="el-GR"/>
        </w:rPr>
        <w:t xml:space="preserve">, (β) η απόδοση της μετατροπής του </w:t>
      </w:r>
      <w:proofErr w:type="spellStart"/>
      <w:r w:rsidRPr="00417108">
        <w:rPr>
          <w:lang w:val="el-GR"/>
        </w:rPr>
        <w:t>ηλιελαίου</w:t>
      </w:r>
      <w:proofErr w:type="spellEnd"/>
      <w:r w:rsidRPr="00417108">
        <w:rPr>
          <w:lang w:val="el-GR"/>
        </w:rPr>
        <w:t xml:space="preserve"> σε υδρογονάνθρακες στην περιοχή του </w:t>
      </w:r>
      <w:r w:rsidRPr="00417108">
        <w:rPr>
          <w:lang w:val="en-US"/>
        </w:rPr>
        <w:t>diesel</w:t>
      </w:r>
      <w:r w:rsidRPr="00417108">
        <w:rPr>
          <w:lang w:val="el-GR"/>
        </w:rPr>
        <w:t xml:space="preserve"> (</w:t>
      </w:r>
      <w:r w:rsidRPr="00417108">
        <w:rPr>
          <w:lang w:val="en-US"/>
        </w:rPr>
        <w:t>C</w:t>
      </w:r>
      <w:r w:rsidRPr="00417108">
        <w:rPr>
          <w:vertAlign w:val="subscript"/>
          <w:lang w:val="el-GR"/>
        </w:rPr>
        <w:t>15</w:t>
      </w:r>
      <w:r w:rsidRPr="00417108">
        <w:rPr>
          <w:lang w:val="el-GR"/>
        </w:rPr>
        <w:t>-</w:t>
      </w:r>
      <w:r w:rsidRPr="00417108">
        <w:rPr>
          <w:lang w:val="en-US"/>
        </w:rPr>
        <w:t>C</w:t>
      </w:r>
      <w:r w:rsidRPr="00417108">
        <w:rPr>
          <w:vertAlign w:val="subscript"/>
          <w:lang w:val="el-GR"/>
        </w:rPr>
        <w:t>18</w:t>
      </w:r>
      <w:r w:rsidRPr="00417108">
        <w:rPr>
          <w:lang w:val="el-GR"/>
        </w:rPr>
        <w:t>) αυξάνει με το ποσοστό του νικελίου στους καταλύτες μέχρι τον καταλύτη 50</w:t>
      </w:r>
      <w:r w:rsidRPr="00417108">
        <w:rPr>
          <w:lang w:val="en-US"/>
        </w:rPr>
        <w:t>Ni</w:t>
      </w:r>
      <w:r w:rsidRPr="00417108">
        <w:rPr>
          <w:lang w:val="el-GR"/>
        </w:rPr>
        <w:t>/</w:t>
      </w:r>
      <w:proofErr w:type="spellStart"/>
      <w:r w:rsidRPr="00417108">
        <w:rPr>
          <w:lang w:val="en-US"/>
        </w:rPr>
        <w:t>SiO</w:t>
      </w:r>
      <w:proofErr w:type="spellEnd"/>
      <w:r w:rsidRPr="00417108">
        <w:rPr>
          <w:vertAlign w:val="subscript"/>
          <w:lang w:val="el-GR"/>
        </w:rPr>
        <w:t>2</w:t>
      </w:r>
      <w:r w:rsidRPr="00417108">
        <w:rPr>
          <w:lang w:val="el-GR"/>
        </w:rPr>
        <w:t xml:space="preserve"> και στη συνέχεια μειώνεται, (γ) επιτυγχάνεται πλήρης μετατροπή του </w:t>
      </w:r>
      <w:proofErr w:type="spellStart"/>
      <w:r w:rsidRPr="00417108">
        <w:rPr>
          <w:lang w:val="el-GR"/>
        </w:rPr>
        <w:t>ηλιελαίου</w:t>
      </w:r>
      <w:proofErr w:type="spellEnd"/>
      <w:r w:rsidRPr="00417108">
        <w:rPr>
          <w:lang w:val="el-GR"/>
        </w:rPr>
        <w:t xml:space="preserve"> μετά από 10</w:t>
      </w:r>
      <w:r w:rsidRPr="00417108">
        <w:rPr>
          <w:lang w:val="en-US"/>
        </w:rPr>
        <w:t>h</w:t>
      </w:r>
      <w:r w:rsidRPr="00417108">
        <w:rPr>
          <w:lang w:val="el-GR"/>
        </w:rPr>
        <w:t>, καθώς και υψηλή απόδοση στο υ</w:t>
      </w:r>
      <w:r w:rsidR="002172E4">
        <w:rPr>
          <w:lang w:val="el-GR"/>
        </w:rPr>
        <w:t>γρό προϊόν σε υδρογονάνθρακες (</w:t>
      </w:r>
      <w:r w:rsidRPr="00417108">
        <w:rPr>
          <w:lang w:val="el-GR"/>
        </w:rPr>
        <w:t>63%) στον πιο δραστικό καταλύτη (50</w:t>
      </w:r>
      <w:r w:rsidRPr="00417108">
        <w:rPr>
          <w:lang w:val="en-US"/>
        </w:rPr>
        <w:t>Ni</w:t>
      </w:r>
      <w:r w:rsidRPr="00417108">
        <w:rPr>
          <w:lang w:val="el-GR"/>
        </w:rPr>
        <w:t>/</w:t>
      </w:r>
      <w:proofErr w:type="spellStart"/>
      <w:r w:rsidRPr="00417108">
        <w:rPr>
          <w:lang w:val="en-US"/>
        </w:rPr>
        <w:t>SiO</w:t>
      </w:r>
      <w:proofErr w:type="spellEnd"/>
      <w:r w:rsidRPr="00417108">
        <w:rPr>
          <w:vertAlign w:val="subscript"/>
          <w:lang w:val="el-GR"/>
        </w:rPr>
        <w:t>2</w:t>
      </w:r>
      <w:r w:rsidR="00AD5FB3">
        <w:rPr>
          <w:lang w:val="el-GR"/>
        </w:rPr>
        <w:t>), (δ)</w:t>
      </w:r>
      <w:r w:rsidRPr="00417108">
        <w:rPr>
          <w:lang w:val="el-GR"/>
        </w:rPr>
        <w:t xml:space="preserve"> </w:t>
      </w:r>
      <w:r w:rsidR="00194D80">
        <w:rPr>
          <w:lang w:val="el-GR"/>
        </w:rPr>
        <w:t>ο</w:t>
      </w:r>
      <w:r w:rsidRPr="00417108">
        <w:rPr>
          <w:lang w:val="el-GR"/>
        </w:rPr>
        <w:t xml:space="preserve"> καταλύτης αυτός εμφανίζει επίσης </w:t>
      </w:r>
      <w:r w:rsidR="002172E4">
        <w:rPr>
          <w:lang w:val="el-GR"/>
        </w:rPr>
        <w:t xml:space="preserve">σχεδόν </w:t>
      </w:r>
      <w:r w:rsidRPr="00417108">
        <w:rPr>
          <w:lang w:val="el-GR"/>
        </w:rPr>
        <w:t xml:space="preserve">πλήρη μετατροπή του </w:t>
      </w:r>
      <w:proofErr w:type="spellStart"/>
      <w:r w:rsidRPr="00417108">
        <w:rPr>
          <w:lang w:val="el-GR"/>
        </w:rPr>
        <w:t>τηγανελαίου</w:t>
      </w:r>
      <w:proofErr w:type="spellEnd"/>
      <w:r w:rsidR="002172E4">
        <w:rPr>
          <w:lang w:val="el-GR"/>
        </w:rPr>
        <w:t xml:space="preserve"> (95%)</w:t>
      </w:r>
      <w:r w:rsidRPr="00417108">
        <w:rPr>
          <w:lang w:val="el-GR"/>
        </w:rPr>
        <w:t xml:space="preserve">, με </w:t>
      </w:r>
      <w:r w:rsidR="002172E4">
        <w:rPr>
          <w:lang w:val="el-GR"/>
        </w:rPr>
        <w:t xml:space="preserve">20% </w:t>
      </w:r>
      <w:r w:rsidRPr="00417108">
        <w:rPr>
          <w:lang w:val="el-GR"/>
        </w:rPr>
        <w:t xml:space="preserve">απόδοση σε υδρογονάνθρακες, καθώς ανιχνεύονται και άλλα προϊόντα, όπως λιπαρά οξέα, </w:t>
      </w:r>
      <w:proofErr w:type="spellStart"/>
      <w:r w:rsidRPr="00417108">
        <w:rPr>
          <w:lang w:val="el-GR"/>
        </w:rPr>
        <w:t>προπυλ</w:t>
      </w:r>
      <w:proofErr w:type="spellEnd"/>
      <w:r w:rsidRPr="00417108">
        <w:rPr>
          <w:lang w:val="el-GR"/>
        </w:rPr>
        <w:t xml:space="preserve">- και </w:t>
      </w:r>
      <w:proofErr w:type="spellStart"/>
      <w:r w:rsidRPr="00417108">
        <w:rPr>
          <w:lang w:val="el-GR"/>
        </w:rPr>
        <w:t>αιθυλ</w:t>
      </w:r>
      <w:proofErr w:type="spellEnd"/>
      <w:r w:rsidRPr="00417108">
        <w:rPr>
          <w:lang w:val="el-GR"/>
        </w:rPr>
        <w:t>- εστέρες καθώς και εστέρες λιπαρών οξέων και αλκοολών.</w:t>
      </w:r>
    </w:p>
    <w:p w:rsidR="00267B45" w:rsidRPr="00417108" w:rsidRDefault="00267B45" w:rsidP="00EA051A">
      <w:pPr>
        <w:tabs>
          <w:tab w:val="num" w:pos="720"/>
        </w:tabs>
        <w:ind w:right="-58"/>
        <w:jc w:val="both"/>
        <w:rPr>
          <w:lang w:val="el-GR"/>
        </w:rPr>
      </w:pPr>
    </w:p>
    <w:p w:rsidR="00267B45" w:rsidRPr="006B0A9E" w:rsidRDefault="0042022C" w:rsidP="00EA051A">
      <w:pPr>
        <w:tabs>
          <w:tab w:val="num" w:pos="720"/>
        </w:tabs>
        <w:ind w:right="-58"/>
        <w:jc w:val="both"/>
        <w:rPr>
          <w:b/>
          <w:lang w:val="en-US"/>
        </w:rPr>
      </w:pPr>
      <w:r w:rsidRPr="00417108">
        <w:rPr>
          <w:b/>
          <w:lang w:val="el-GR"/>
        </w:rPr>
        <w:t>Βιβλιογραφία</w:t>
      </w:r>
    </w:p>
    <w:p w:rsidR="006B0A9E" w:rsidRPr="006B0A9E" w:rsidRDefault="006B0A9E" w:rsidP="006B0A9E">
      <w:pPr>
        <w:tabs>
          <w:tab w:val="num" w:pos="720"/>
        </w:tabs>
        <w:ind w:right="-58"/>
        <w:jc w:val="both"/>
        <w:rPr>
          <w:lang w:val="de-DE"/>
        </w:rPr>
      </w:pPr>
      <w:proofErr w:type="gramStart"/>
      <w:r w:rsidRPr="006B0A9E">
        <w:rPr>
          <w:lang w:val="en-US"/>
        </w:rPr>
        <w:t xml:space="preserve">[1] </w:t>
      </w:r>
      <w:r w:rsidRPr="006B0A9E">
        <w:t xml:space="preserve">R. W. </w:t>
      </w:r>
      <w:proofErr w:type="spellStart"/>
      <w:r w:rsidRPr="006B0A9E">
        <w:t>Gosselink</w:t>
      </w:r>
      <w:proofErr w:type="spellEnd"/>
      <w:r w:rsidRPr="006B0A9E">
        <w:t xml:space="preserve">, S. A. W. </w:t>
      </w:r>
      <w:proofErr w:type="spellStart"/>
      <w:r w:rsidRPr="006B0A9E">
        <w:t>Hollak</w:t>
      </w:r>
      <w:proofErr w:type="spellEnd"/>
      <w:r w:rsidRPr="006B0A9E">
        <w:t>, S.-W.</w:t>
      </w:r>
      <w:proofErr w:type="gramEnd"/>
      <w:r w:rsidRPr="006B0A9E">
        <w:t xml:space="preserve"> Chang, J. van </w:t>
      </w:r>
      <w:proofErr w:type="spellStart"/>
      <w:r w:rsidRPr="006B0A9E">
        <w:t>Haveren</w:t>
      </w:r>
      <w:proofErr w:type="spellEnd"/>
      <w:r w:rsidRPr="006B0A9E">
        <w:t xml:space="preserve">, </w:t>
      </w:r>
      <w:r w:rsidRPr="006B0A9E">
        <w:rPr>
          <w:lang w:val="nl-NL"/>
        </w:rPr>
        <w:t>K. P. de Jong, J. H. Bitter, D. S. van Es,</w:t>
      </w:r>
      <w:r w:rsidRPr="006B0A9E">
        <w:rPr>
          <w:lang w:val="de-DE"/>
        </w:rPr>
        <w:t xml:space="preserve"> </w:t>
      </w:r>
      <w:proofErr w:type="spellStart"/>
      <w:r w:rsidRPr="006B0A9E">
        <w:rPr>
          <w:lang w:val="de-DE"/>
        </w:rPr>
        <w:t>ChemSusChem</w:t>
      </w:r>
      <w:proofErr w:type="spellEnd"/>
      <w:r w:rsidRPr="006B0A9E">
        <w:rPr>
          <w:lang w:val="de-DE"/>
        </w:rPr>
        <w:t xml:space="preserve"> 6 (2013) 1576.</w:t>
      </w:r>
    </w:p>
    <w:p w:rsidR="006B0A9E" w:rsidRPr="006B0A9E" w:rsidRDefault="006B0A9E" w:rsidP="006B0A9E">
      <w:pPr>
        <w:tabs>
          <w:tab w:val="num" w:pos="720"/>
        </w:tabs>
        <w:ind w:right="-58"/>
        <w:jc w:val="both"/>
        <w:rPr>
          <w:lang w:val="en-US"/>
        </w:rPr>
      </w:pPr>
      <w:r w:rsidRPr="006B0A9E">
        <w:rPr>
          <w:lang w:val="en-US"/>
        </w:rPr>
        <w:t>[2]</w:t>
      </w:r>
      <w:r w:rsidRPr="006B0A9E">
        <w:t xml:space="preserve"> T.V. </w:t>
      </w:r>
      <w:proofErr w:type="spellStart"/>
      <w:r w:rsidRPr="006B0A9E">
        <w:t>Choudhary</w:t>
      </w:r>
      <w:proofErr w:type="spellEnd"/>
      <w:r w:rsidRPr="006B0A9E">
        <w:t>, C.B. Phillips,</w:t>
      </w:r>
      <w:r w:rsidR="006E3091">
        <w:rPr>
          <w:lang w:val="en-US"/>
        </w:rPr>
        <w:t xml:space="preserve"> App. </w:t>
      </w:r>
      <w:proofErr w:type="spellStart"/>
      <w:r w:rsidR="006E3091">
        <w:rPr>
          <w:lang w:val="en-US"/>
        </w:rPr>
        <w:t>Catal</w:t>
      </w:r>
      <w:proofErr w:type="spellEnd"/>
      <w:r w:rsidR="006E3091">
        <w:rPr>
          <w:lang w:val="en-US"/>
        </w:rPr>
        <w:t xml:space="preserve">. </w:t>
      </w:r>
      <w:proofErr w:type="gramStart"/>
      <w:r w:rsidR="006E3091">
        <w:rPr>
          <w:lang w:val="en-US"/>
        </w:rPr>
        <w:t>A</w:t>
      </w:r>
      <w:r w:rsidRPr="006B0A9E">
        <w:rPr>
          <w:lang w:val="en-US"/>
        </w:rPr>
        <w:t xml:space="preserve"> 397 (2011) 1.</w:t>
      </w:r>
      <w:proofErr w:type="gramEnd"/>
    </w:p>
    <w:p w:rsidR="006B0A9E" w:rsidRPr="006B0A9E" w:rsidRDefault="006B0A9E" w:rsidP="006B0A9E">
      <w:pPr>
        <w:tabs>
          <w:tab w:val="num" w:pos="720"/>
        </w:tabs>
        <w:ind w:right="-58"/>
        <w:jc w:val="both"/>
        <w:rPr>
          <w:lang w:val="en-US"/>
        </w:rPr>
      </w:pPr>
      <w:r w:rsidRPr="006B0A9E">
        <w:t>[3]</w:t>
      </w:r>
      <w:r w:rsidRPr="006B0A9E">
        <w:rPr>
          <w:lang w:val="en-US"/>
        </w:rPr>
        <w:t xml:space="preserve"> I. </w:t>
      </w:r>
      <w:proofErr w:type="spellStart"/>
      <w:r w:rsidRPr="006B0A9E">
        <w:rPr>
          <w:lang w:val="en-US"/>
        </w:rPr>
        <w:t>Kubičková</w:t>
      </w:r>
      <w:proofErr w:type="spellEnd"/>
      <w:r w:rsidRPr="006B0A9E">
        <w:rPr>
          <w:lang w:val="en-US"/>
        </w:rPr>
        <w:t xml:space="preserve">, D. Kubička, </w:t>
      </w:r>
      <w:r w:rsidRPr="006B0A9E">
        <w:t xml:space="preserve">Waste Biomass </w:t>
      </w:r>
      <w:proofErr w:type="spellStart"/>
      <w:r w:rsidRPr="006B0A9E">
        <w:t>Valor</w:t>
      </w:r>
      <w:proofErr w:type="spellEnd"/>
      <w:r w:rsidR="006E3091" w:rsidRPr="006E3091">
        <w:rPr>
          <w:lang w:val="en-US"/>
        </w:rPr>
        <w:t>.</w:t>
      </w:r>
      <w:r w:rsidRPr="006B0A9E">
        <w:t xml:space="preserve"> 1 (2010) 293.</w:t>
      </w:r>
      <w:r w:rsidRPr="006B0A9E">
        <w:rPr>
          <w:lang w:val="en-US"/>
        </w:rPr>
        <w:t xml:space="preserve"> </w:t>
      </w:r>
    </w:p>
    <w:p w:rsidR="00DA145B" w:rsidRPr="006B0A9E" w:rsidRDefault="006B0A9E" w:rsidP="00EA051A">
      <w:pPr>
        <w:tabs>
          <w:tab w:val="num" w:pos="720"/>
        </w:tabs>
        <w:ind w:right="-58"/>
        <w:jc w:val="both"/>
        <w:rPr>
          <w:lang w:val="en-US"/>
        </w:rPr>
      </w:pPr>
      <w:r w:rsidRPr="006B0A9E">
        <w:rPr>
          <w:rFonts w:cstheme="minorHAnsi"/>
          <w:lang w:val="en-US"/>
        </w:rPr>
        <w:t xml:space="preserve">[4] </w:t>
      </w:r>
      <w:r w:rsidRPr="004F7FF3">
        <w:rPr>
          <w:rFonts w:cstheme="minorHAnsi"/>
          <w:lang w:val="en-US"/>
        </w:rPr>
        <w:t xml:space="preserve">C. Kordulis, K. Bourikas, M. Gousi, E. </w:t>
      </w:r>
      <w:proofErr w:type="spellStart"/>
      <w:r w:rsidRPr="004F7FF3">
        <w:rPr>
          <w:rFonts w:cstheme="minorHAnsi"/>
          <w:lang w:val="en-US"/>
        </w:rPr>
        <w:t>Kordouli</w:t>
      </w:r>
      <w:proofErr w:type="spellEnd"/>
      <w:r w:rsidRPr="004F7FF3">
        <w:rPr>
          <w:rFonts w:cstheme="minorHAnsi"/>
          <w:lang w:val="en-US"/>
        </w:rPr>
        <w:t>, A</w:t>
      </w:r>
      <w:r>
        <w:rPr>
          <w:rFonts w:cstheme="minorHAnsi"/>
          <w:lang w:val="en-US"/>
        </w:rPr>
        <w:t xml:space="preserve">. Lycourghiotis, Appl. </w:t>
      </w:r>
      <w:proofErr w:type="spellStart"/>
      <w:r>
        <w:rPr>
          <w:rFonts w:cstheme="minorHAnsi"/>
          <w:lang w:val="en-US"/>
        </w:rPr>
        <w:t>Catal</w:t>
      </w:r>
      <w:proofErr w:type="spellEnd"/>
      <w:r>
        <w:rPr>
          <w:rFonts w:cstheme="minorHAnsi"/>
          <w:lang w:val="en-US"/>
        </w:rPr>
        <w:t xml:space="preserve">. </w:t>
      </w:r>
      <w:proofErr w:type="gramStart"/>
      <w:r>
        <w:rPr>
          <w:rFonts w:cstheme="minorHAnsi"/>
          <w:lang w:val="en-US"/>
        </w:rPr>
        <w:t>B</w:t>
      </w:r>
      <w:r w:rsidRPr="004F7FF3">
        <w:rPr>
          <w:rFonts w:cstheme="minorHAnsi"/>
          <w:lang w:val="en-US"/>
        </w:rPr>
        <w:t xml:space="preserve"> </w:t>
      </w:r>
      <w:r>
        <w:rPr>
          <w:rFonts w:cstheme="minorHAnsi"/>
          <w:bCs/>
          <w:lang w:val="en-US"/>
        </w:rPr>
        <w:t>181 (2016) 156</w:t>
      </w:r>
      <w:r w:rsidRPr="004F7FF3">
        <w:rPr>
          <w:rFonts w:cstheme="minorHAnsi"/>
          <w:bCs/>
          <w:lang w:val="en-US"/>
        </w:rPr>
        <w:t>.</w:t>
      </w:r>
      <w:proofErr w:type="gramEnd"/>
    </w:p>
    <w:p w:rsidR="00DC0059" w:rsidRPr="00DA145B" w:rsidRDefault="00D440F2" w:rsidP="00EA051A">
      <w:pPr>
        <w:tabs>
          <w:tab w:val="num" w:pos="720"/>
        </w:tabs>
        <w:ind w:right="-58"/>
        <w:jc w:val="both"/>
        <w:rPr>
          <w:lang w:val="el-GR"/>
        </w:rPr>
      </w:pPr>
      <w:proofErr w:type="gramStart"/>
      <w:r w:rsidRPr="00D440F2">
        <w:rPr>
          <w:lang w:val="en-US"/>
        </w:rPr>
        <w:t xml:space="preserve">[5] </w:t>
      </w:r>
      <w:r w:rsidR="00BA131C" w:rsidRPr="00BA131C">
        <w:rPr>
          <w:lang w:val="en-US"/>
        </w:rPr>
        <w:t>F</w:t>
      </w:r>
      <w:r w:rsidR="00BA131C">
        <w:rPr>
          <w:lang w:val="en-US"/>
        </w:rPr>
        <w:t>.</w:t>
      </w:r>
      <w:r w:rsidR="00DC0059" w:rsidRPr="00BA131C">
        <w:rPr>
          <w:lang w:val="en-US"/>
        </w:rPr>
        <w:t xml:space="preserve"> </w:t>
      </w:r>
      <w:proofErr w:type="spellStart"/>
      <w:r w:rsidR="00DC0059" w:rsidRPr="00BA131C">
        <w:rPr>
          <w:lang w:val="en-US"/>
        </w:rPr>
        <w:t>Ne</w:t>
      </w:r>
      <w:r w:rsidR="00BA131C">
        <w:rPr>
          <w:lang w:val="en-US"/>
        </w:rPr>
        <w:t>grier</w:t>
      </w:r>
      <w:proofErr w:type="spellEnd"/>
      <w:r w:rsidR="00BA131C">
        <w:rPr>
          <w:lang w:val="en-US"/>
        </w:rPr>
        <w:t>, E.</w:t>
      </w:r>
      <w:r w:rsidR="00DC0059" w:rsidRPr="00BA131C">
        <w:rPr>
          <w:lang w:val="en-US"/>
        </w:rPr>
        <w:t xml:space="preserve"> Marceau,</w:t>
      </w:r>
      <w:r w:rsidR="00BA131C">
        <w:rPr>
          <w:lang w:val="en-US"/>
        </w:rPr>
        <w:t xml:space="preserve"> M.</w:t>
      </w:r>
      <w:r w:rsidR="00DC0059" w:rsidRPr="00BA131C">
        <w:rPr>
          <w:lang w:val="en-US"/>
        </w:rPr>
        <w:t xml:space="preserve"> </w:t>
      </w:r>
      <w:proofErr w:type="spellStart"/>
      <w:r w:rsidR="00DC0059" w:rsidRPr="00BA131C">
        <w:rPr>
          <w:lang w:val="en-US"/>
        </w:rPr>
        <w:t>Che</w:t>
      </w:r>
      <w:proofErr w:type="spellEnd"/>
      <w:r w:rsidR="00DC0059" w:rsidRPr="00BA131C">
        <w:rPr>
          <w:lang w:val="en-US"/>
        </w:rPr>
        <w:t xml:space="preserve">, </w:t>
      </w:r>
      <w:r w:rsidR="00BA131C">
        <w:rPr>
          <w:lang w:val="en-US"/>
        </w:rPr>
        <w:t>J-M.</w:t>
      </w:r>
      <w:proofErr w:type="gramEnd"/>
      <w:r w:rsidR="00BA131C">
        <w:rPr>
          <w:lang w:val="en-US"/>
        </w:rPr>
        <w:t xml:space="preserve"> </w:t>
      </w:r>
      <w:proofErr w:type="spellStart"/>
      <w:proofErr w:type="gramStart"/>
      <w:r w:rsidR="00BA131C">
        <w:rPr>
          <w:lang w:val="en-US"/>
        </w:rPr>
        <w:t>Giraudon</w:t>
      </w:r>
      <w:proofErr w:type="spellEnd"/>
      <w:r w:rsidR="00BA131C">
        <w:rPr>
          <w:lang w:val="en-US"/>
        </w:rPr>
        <w:t xml:space="preserve">, L. </w:t>
      </w:r>
      <w:proofErr w:type="spellStart"/>
      <w:r w:rsidR="00BA131C">
        <w:rPr>
          <w:lang w:val="en-US"/>
        </w:rPr>
        <w:t>Gengembre</w:t>
      </w:r>
      <w:proofErr w:type="spellEnd"/>
      <w:r w:rsidR="00BA131C">
        <w:rPr>
          <w:lang w:val="en-US"/>
        </w:rPr>
        <w:t>, A.</w:t>
      </w:r>
      <w:r w:rsidR="00DC0059" w:rsidRPr="00BA131C">
        <w:rPr>
          <w:lang w:val="en-US"/>
        </w:rPr>
        <w:t xml:space="preserve"> </w:t>
      </w:r>
      <w:proofErr w:type="spellStart"/>
      <w:r w:rsidR="00DC0059" w:rsidRPr="00BA131C">
        <w:rPr>
          <w:lang w:val="en-US"/>
        </w:rPr>
        <w:t>Lofberg</w:t>
      </w:r>
      <w:proofErr w:type="spellEnd"/>
      <w:r w:rsidR="00BA131C">
        <w:rPr>
          <w:lang w:val="en-US"/>
        </w:rPr>
        <w:t>,</w:t>
      </w:r>
      <w:r w:rsidR="00DC0059" w:rsidRPr="00BA131C">
        <w:rPr>
          <w:lang w:val="en-US"/>
        </w:rPr>
        <w:t xml:space="preserve"> J. Phys. </w:t>
      </w:r>
      <w:proofErr w:type="spellStart"/>
      <w:r w:rsidR="00DC0059" w:rsidRPr="00BA131C">
        <w:rPr>
          <w:lang w:val="el-GR"/>
        </w:rPr>
        <w:t>Chem</w:t>
      </w:r>
      <w:proofErr w:type="spellEnd"/>
      <w:r w:rsidR="00DC0059" w:rsidRPr="00BA131C">
        <w:rPr>
          <w:lang w:val="el-GR"/>
        </w:rPr>
        <w:t xml:space="preserve">. </w:t>
      </w:r>
      <w:r w:rsidR="00DC0059" w:rsidRPr="00BA131C">
        <w:rPr>
          <w:lang w:val="en-US"/>
        </w:rPr>
        <w:t xml:space="preserve">B </w:t>
      </w:r>
      <w:r w:rsidR="00BA131C" w:rsidRPr="00BA131C">
        <w:rPr>
          <w:lang w:val="en-US"/>
        </w:rPr>
        <w:t>109</w:t>
      </w:r>
      <w:r w:rsidR="00BA131C">
        <w:rPr>
          <w:lang w:val="en-US"/>
        </w:rPr>
        <w:t xml:space="preserve"> (</w:t>
      </w:r>
      <w:r w:rsidR="00DC0059" w:rsidRPr="00BA131C">
        <w:rPr>
          <w:lang w:val="en-US"/>
        </w:rPr>
        <w:t>2005</w:t>
      </w:r>
      <w:r w:rsidR="00BA131C">
        <w:rPr>
          <w:lang w:val="en-US"/>
        </w:rPr>
        <w:t>)</w:t>
      </w:r>
      <w:r w:rsidR="00DC0059" w:rsidRPr="00BA131C">
        <w:rPr>
          <w:lang w:val="en-US"/>
        </w:rPr>
        <w:t xml:space="preserve"> 2836</w:t>
      </w:r>
      <w:r w:rsidR="00BA131C">
        <w:rPr>
          <w:lang w:val="en-US"/>
        </w:rPr>
        <w:t>.</w:t>
      </w:r>
      <w:proofErr w:type="gramEnd"/>
    </w:p>
    <w:p w:rsidR="00DC0059" w:rsidRPr="00BA131C" w:rsidRDefault="00D440F2" w:rsidP="00EA051A">
      <w:pPr>
        <w:tabs>
          <w:tab w:val="num" w:pos="720"/>
        </w:tabs>
        <w:ind w:right="-58"/>
        <w:jc w:val="both"/>
        <w:rPr>
          <w:lang w:val="en-US"/>
        </w:rPr>
      </w:pPr>
      <w:proofErr w:type="gramStart"/>
      <w:r w:rsidRPr="001079C2">
        <w:rPr>
          <w:lang w:val="en-US"/>
        </w:rPr>
        <w:t xml:space="preserve">[6] </w:t>
      </w:r>
      <w:r w:rsidR="00BA131C" w:rsidRPr="00BA131C">
        <w:rPr>
          <w:lang w:val="en-US"/>
        </w:rPr>
        <w:t>S</w:t>
      </w:r>
      <w:r w:rsidR="00BA131C">
        <w:rPr>
          <w:lang w:val="en-US"/>
        </w:rPr>
        <w:t xml:space="preserve">. </w:t>
      </w:r>
      <w:proofErr w:type="spellStart"/>
      <w:r w:rsidR="00BA131C">
        <w:rPr>
          <w:lang w:val="en-US"/>
        </w:rPr>
        <w:t>Boujday</w:t>
      </w:r>
      <w:proofErr w:type="spellEnd"/>
      <w:r w:rsidR="00BA131C">
        <w:rPr>
          <w:lang w:val="en-US"/>
        </w:rPr>
        <w:t>, J-F.</w:t>
      </w:r>
      <w:proofErr w:type="gramEnd"/>
      <w:r w:rsidR="00BA131C">
        <w:rPr>
          <w:lang w:val="en-US"/>
        </w:rPr>
        <w:t xml:space="preserve"> </w:t>
      </w:r>
      <w:proofErr w:type="gramStart"/>
      <w:r w:rsidR="00BA131C">
        <w:rPr>
          <w:lang w:val="en-US"/>
        </w:rPr>
        <w:t>Lambert, M.</w:t>
      </w:r>
      <w:r w:rsidR="00DC0059" w:rsidRPr="00BA131C">
        <w:rPr>
          <w:lang w:val="en-US"/>
        </w:rPr>
        <w:t xml:space="preserve"> </w:t>
      </w:r>
      <w:proofErr w:type="spellStart"/>
      <w:r w:rsidR="00DC0059" w:rsidRPr="00BA131C">
        <w:rPr>
          <w:lang w:val="en-US"/>
        </w:rPr>
        <w:t>Che</w:t>
      </w:r>
      <w:proofErr w:type="spellEnd"/>
      <w:r w:rsidR="00BA131C">
        <w:rPr>
          <w:lang w:val="en-US"/>
        </w:rPr>
        <w:t>, J. Phys. Chem. B</w:t>
      </w:r>
      <w:r w:rsidR="00DC0059" w:rsidRPr="00BA131C">
        <w:rPr>
          <w:lang w:val="en-US"/>
        </w:rPr>
        <w:t xml:space="preserve"> 107</w:t>
      </w:r>
      <w:r w:rsidR="00965781">
        <w:rPr>
          <w:lang w:val="en-US"/>
        </w:rPr>
        <w:t xml:space="preserve"> (2003) 651.</w:t>
      </w:r>
      <w:proofErr w:type="gramEnd"/>
    </w:p>
    <w:p w:rsidR="000744A1" w:rsidRPr="00BA131C" w:rsidRDefault="00D440F2" w:rsidP="00EA051A">
      <w:pPr>
        <w:tabs>
          <w:tab w:val="num" w:pos="720"/>
        </w:tabs>
        <w:ind w:right="-58"/>
        <w:jc w:val="both"/>
        <w:rPr>
          <w:lang w:val="en-US"/>
        </w:rPr>
      </w:pPr>
      <w:r w:rsidRPr="001079C2">
        <w:rPr>
          <w:lang w:val="en-US"/>
        </w:rPr>
        <w:t xml:space="preserve">[7] </w:t>
      </w:r>
      <w:r w:rsidR="00965781">
        <w:rPr>
          <w:lang w:val="en-US"/>
        </w:rPr>
        <w:t>K-Q.</w:t>
      </w:r>
      <w:r w:rsidR="000744A1" w:rsidRPr="00BA131C">
        <w:rPr>
          <w:lang w:val="en-US"/>
        </w:rPr>
        <w:t xml:space="preserve"> </w:t>
      </w:r>
      <w:proofErr w:type="gramStart"/>
      <w:r w:rsidR="000744A1" w:rsidRPr="00BA131C">
        <w:rPr>
          <w:lang w:val="en-US"/>
        </w:rPr>
        <w:t xml:space="preserve">Sun, </w:t>
      </w:r>
      <w:r w:rsidR="00965781">
        <w:rPr>
          <w:lang w:val="en-US"/>
        </w:rPr>
        <w:t>E. Marceau, M.</w:t>
      </w:r>
      <w:r w:rsidR="000744A1" w:rsidRPr="00BA131C">
        <w:rPr>
          <w:lang w:val="en-US"/>
        </w:rPr>
        <w:t xml:space="preserve"> </w:t>
      </w:r>
      <w:proofErr w:type="spellStart"/>
      <w:r w:rsidR="000744A1" w:rsidRPr="00BA131C">
        <w:rPr>
          <w:lang w:val="en-US"/>
        </w:rPr>
        <w:t>Che</w:t>
      </w:r>
      <w:proofErr w:type="spellEnd"/>
      <w:r w:rsidR="00965781">
        <w:rPr>
          <w:lang w:val="en-US"/>
        </w:rPr>
        <w:t>,</w:t>
      </w:r>
      <w:r w:rsidR="000744A1" w:rsidRPr="00BA131C">
        <w:rPr>
          <w:lang w:val="en-US"/>
        </w:rPr>
        <w:t xml:space="preserve"> Phys. Chem. Chem. Phys</w:t>
      </w:r>
      <w:r w:rsidR="00965781">
        <w:rPr>
          <w:lang w:val="en-US"/>
        </w:rPr>
        <w:t>.</w:t>
      </w:r>
      <w:r w:rsidR="000744A1" w:rsidRPr="00BA131C">
        <w:rPr>
          <w:lang w:val="en-US"/>
        </w:rPr>
        <w:t xml:space="preserve"> </w:t>
      </w:r>
      <w:r w:rsidR="00965781">
        <w:rPr>
          <w:lang w:val="en-US"/>
        </w:rPr>
        <w:t>8 (</w:t>
      </w:r>
      <w:r w:rsidR="000744A1" w:rsidRPr="00BA131C">
        <w:rPr>
          <w:lang w:val="en-US"/>
        </w:rPr>
        <w:t>2006</w:t>
      </w:r>
      <w:r w:rsidR="00965781">
        <w:rPr>
          <w:lang w:val="en-US"/>
        </w:rPr>
        <w:t>)</w:t>
      </w:r>
      <w:r w:rsidR="000744A1" w:rsidRPr="00BA131C">
        <w:rPr>
          <w:lang w:val="en-US"/>
        </w:rPr>
        <w:t xml:space="preserve"> 1731</w:t>
      </w:r>
      <w:r w:rsidR="00965781">
        <w:rPr>
          <w:lang w:val="en-US"/>
        </w:rPr>
        <w:t>.</w:t>
      </w:r>
      <w:proofErr w:type="gramEnd"/>
    </w:p>
    <w:p w:rsidR="000744A1" w:rsidRPr="001079C2" w:rsidRDefault="00D440F2" w:rsidP="00EA051A">
      <w:pPr>
        <w:tabs>
          <w:tab w:val="num" w:pos="720"/>
        </w:tabs>
        <w:ind w:right="-58"/>
        <w:jc w:val="both"/>
        <w:rPr>
          <w:lang w:val="en-US"/>
        </w:rPr>
      </w:pPr>
      <w:r w:rsidRPr="00D440F2">
        <w:rPr>
          <w:lang w:val="en-US"/>
        </w:rPr>
        <w:t xml:space="preserve">[8] </w:t>
      </w:r>
      <w:r w:rsidR="000744A1" w:rsidRPr="00BA131C">
        <w:rPr>
          <w:lang w:val="en-US"/>
        </w:rPr>
        <w:t xml:space="preserve">F. </w:t>
      </w:r>
      <w:proofErr w:type="spellStart"/>
      <w:r w:rsidR="000744A1" w:rsidRPr="00BA131C">
        <w:rPr>
          <w:lang w:val="en-US"/>
        </w:rPr>
        <w:t>N</w:t>
      </w:r>
      <w:r w:rsidR="000744A1" w:rsidRPr="00965781">
        <w:rPr>
          <w:lang w:val="en-US"/>
        </w:rPr>
        <w:t>egrier</w:t>
      </w:r>
      <w:proofErr w:type="spellEnd"/>
      <w:r w:rsidR="000744A1" w:rsidRPr="00965781">
        <w:rPr>
          <w:lang w:val="en-US"/>
        </w:rPr>
        <w:t>, E. Marceau</w:t>
      </w:r>
      <w:r w:rsidR="00965781">
        <w:rPr>
          <w:lang w:val="en-US"/>
        </w:rPr>
        <w:t>,</w:t>
      </w:r>
      <w:r w:rsidR="000744A1" w:rsidRPr="00965781">
        <w:rPr>
          <w:lang w:val="en-US"/>
        </w:rPr>
        <w:t xml:space="preserve"> M. </w:t>
      </w:r>
      <w:proofErr w:type="spellStart"/>
      <w:r w:rsidR="000744A1" w:rsidRPr="00965781">
        <w:rPr>
          <w:lang w:val="en-US"/>
        </w:rPr>
        <w:t>Che</w:t>
      </w:r>
      <w:proofErr w:type="spellEnd"/>
      <w:r w:rsidR="00965781">
        <w:rPr>
          <w:lang w:val="en-US"/>
        </w:rPr>
        <w:t>,</w:t>
      </w:r>
      <w:r w:rsidR="000744A1" w:rsidRPr="00965781">
        <w:rPr>
          <w:lang w:val="en-US"/>
        </w:rPr>
        <w:t xml:space="preserve"> </w:t>
      </w:r>
      <w:r w:rsidR="00965781">
        <w:rPr>
          <w:lang w:val="en-US"/>
        </w:rPr>
        <w:t xml:space="preserve">Chem. </w:t>
      </w:r>
      <w:proofErr w:type="spellStart"/>
      <w:r w:rsidR="00965781">
        <w:rPr>
          <w:lang w:val="en-US"/>
        </w:rPr>
        <w:t>Commun</w:t>
      </w:r>
      <w:proofErr w:type="spellEnd"/>
      <w:r w:rsidR="00965781">
        <w:rPr>
          <w:lang w:val="en-US"/>
        </w:rPr>
        <w:t>.</w:t>
      </w:r>
      <w:r w:rsidR="000744A1" w:rsidRPr="00965781">
        <w:rPr>
          <w:lang w:val="en-US"/>
        </w:rPr>
        <w:t xml:space="preserve"> </w:t>
      </w:r>
      <w:proofErr w:type="gramStart"/>
      <w:r w:rsidR="00965781">
        <w:rPr>
          <w:lang w:val="en-US"/>
        </w:rPr>
        <w:t>(</w:t>
      </w:r>
      <w:r w:rsidR="000744A1" w:rsidRPr="00965781">
        <w:rPr>
          <w:lang w:val="en-US"/>
        </w:rPr>
        <w:t>2002</w:t>
      </w:r>
      <w:r w:rsidR="00965781">
        <w:rPr>
          <w:lang w:val="en-US"/>
        </w:rPr>
        <w:t>)</w:t>
      </w:r>
      <w:r w:rsidR="000744A1" w:rsidRPr="00965781">
        <w:rPr>
          <w:lang w:val="en-US"/>
        </w:rPr>
        <w:t xml:space="preserve"> 1194</w:t>
      </w:r>
      <w:r w:rsidR="00965781">
        <w:rPr>
          <w:lang w:val="en-US"/>
        </w:rPr>
        <w:t>.</w:t>
      </w:r>
      <w:proofErr w:type="gramEnd"/>
    </w:p>
    <w:p w:rsidR="006E3091" w:rsidRPr="006E3091" w:rsidRDefault="006E3091" w:rsidP="00EA051A">
      <w:pPr>
        <w:tabs>
          <w:tab w:val="num" w:pos="720"/>
        </w:tabs>
        <w:ind w:right="-58"/>
        <w:jc w:val="both"/>
        <w:rPr>
          <w:rFonts w:cstheme="minorHAnsi"/>
          <w:lang w:val="en-US"/>
        </w:rPr>
      </w:pPr>
      <w:r w:rsidRPr="006E3091">
        <w:rPr>
          <w:rFonts w:cstheme="minorHAnsi"/>
          <w:lang w:val="en-US"/>
        </w:rPr>
        <w:t xml:space="preserve">[9] </w:t>
      </w:r>
      <w:r w:rsidRPr="004F7FF3">
        <w:rPr>
          <w:rFonts w:cstheme="minorHAnsi"/>
          <w:lang w:val="en-US"/>
        </w:rPr>
        <w:t xml:space="preserve">B. </w:t>
      </w:r>
      <w:proofErr w:type="spellStart"/>
      <w:r w:rsidRPr="004F7FF3">
        <w:rPr>
          <w:rFonts w:cstheme="minorHAnsi"/>
          <w:lang w:val="en-US"/>
        </w:rPr>
        <w:t>Peng</w:t>
      </w:r>
      <w:proofErr w:type="spellEnd"/>
      <w:r w:rsidRPr="004F7FF3">
        <w:rPr>
          <w:rFonts w:cstheme="minorHAnsi"/>
          <w:lang w:val="en-US"/>
        </w:rPr>
        <w:t xml:space="preserve">, C. Zhao, S. </w:t>
      </w:r>
      <w:proofErr w:type="spellStart"/>
      <w:r w:rsidRPr="004F7FF3">
        <w:rPr>
          <w:rFonts w:cstheme="minorHAnsi"/>
          <w:lang w:val="en-US"/>
        </w:rPr>
        <w:t>Kasakov</w:t>
      </w:r>
      <w:proofErr w:type="spellEnd"/>
      <w:r w:rsidRPr="004F7FF3">
        <w:rPr>
          <w:rFonts w:cstheme="minorHAnsi"/>
          <w:lang w:val="en-US"/>
        </w:rPr>
        <w:t xml:space="preserve">, S. </w:t>
      </w:r>
      <w:proofErr w:type="spellStart"/>
      <w:r w:rsidRPr="004F7FF3">
        <w:rPr>
          <w:rFonts w:cstheme="minorHAnsi"/>
          <w:lang w:val="en-US"/>
        </w:rPr>
        <w:t>Foraita</w:t>
      </w:r>
      <w:proofErr w:type="spellEnd"/>
      <w:r w:rsidRPr="004F7FF3">
        <w:rPr>
          <w:rFonts w:cstheme="minorHAnsi"/>
          <w:lang w:val="en-US"/>
        </w:rPr>
        <w:t xml:space="preserve">, J.A. </w:t>
      </w:r>
      <w:proofErr w:type="spellStart"/>
      <w:r w:rsidRPr="004F7FF3">
        <w:rPr>
          <w:rFonts w:cstheme="minorHAnsi"/>
          <w:lang w:val="en-US"/>
        </w:rPr>
        <w:t>Lercher</w:t>
      </w:r>
      <w:proofErr w:type="spellEnd"/>
      <w:r w:rsidRPr="004F7FF3">
        <w:rPr>
          <w:rFonts w:cstheme="minorHAnsi"/>
          <w:lang w:val="en-US"/>
        </w:rPr>
        <w:t>, Che</w:t>
      </w:r>
      <w:r>
        <w:rPr>
          <w:rFonts w:cstheme="minorHAnsi"/>
          <w:lang w:val="en-US"/>
        </w:rPr>
        <w:t>m. Eur. J. 19 (2013) 4732</w:t>
      </w:r>
      <w:r w:rsidRPr="004F7FF3">
        <w:rPr>
          <w:rFonts w:cstheme="minorHAnsi"/>
          <w:lang w:val="en-US"/>
        </w:rPr>
        <w:t>.</w:t>
      </w:r>
    </w:p>
    <w:p w:rsidR="006E3091" w:rsidRPr="006E3091" w:rsidRDefault="006E3091" w:rsidP="00EA051A">
      <w:pPr>
        <w:tabs>
          <w:tab w:val="num" w:pos="720"/>
        </w:tabs>
        <w:ind w:right="-58"/>
        <w:jc w:val="both"/>
        <w:rPr>
          <w:rFonts w:cstheme="minorHAnsi"/>
          <w:lang w:val="en-US"/>
        </w:rPr>
      </w:pPr>
      <w:r w:rsidRPr="006E3091">
        <w:rPr>
          <w:rFonts w:cstheme="minorHAnsi"/>
          <w:lang w:val="en-US"/>
        </w:rPr>
        <w:t xml:space="preserve">[10] </w:t>
      </w:r>
      <w:r w:rsidRPr="004F7FF3">
        <w:rPr>
          <w:rFonts w:cstheme="minorHAnsi"/>
          <w:lang w:val="en-US"/>
        </w:rPr>
        <w:t xml:space="preserve">R. </w:t>
      </w:r>
      <w:proofErr w:type="spellStart"/>
      <w:r w:rsidRPr="004F7FF3">
        <w:rPr>
          <w:rFonts w:cstheme="minorHAnsi"/>
          <w:lang w:val="en-US"/>
        </w:rPr>
        <w:t>Loe</w:t>
      </w:r>
      <w:proofErr w:type="spellEnd"/>
      <w:r w:rsidRPr="004F7FF3">
        <w:rPr>
          <w:rFonts w:cstheme="minorHAnsi"/>
          <w:lang w:val="en-US"/>
        </w:rPr>
        <w:t xml:space="preserve">, E. </w:t>
      </w:r>
      <w:proofErr w:type="spellStart"/>
      <w:r w:rsidRPr="004F7FF3">
        <w:rPr>
          <w:rFonts w:cstheme="minorHAnsi"/>
          <w:lang w:val="en-US"/>
        </w:rPr>
        <w:t>Santillan</w:t>
      </w:r>
      <w:proofErr w:type="spellEnd"/>
      <w:r w:rsidRPr="004F7FF3">
        <w:rPr>
          <w:rFonts w:cstheme="minorHAnsi"/>
          <w:lang w:val="en-US"/>
        </w:rPr>
        <w:t xml:space="preserve">-Jimenez, T. Morgan, L. Sewell, Y. </w:t>
      </w:r>
      <w:proofErr w:type="spellStart"/>
      <w:r w:rsidRPr="004F7FF3">
        <w:rPr>
          <w:rFonts w:cstheme="minorHAnsi"/>
          <w:lang w:val="en-US"/>
        </w:rPr>
        <w:t>Ji</w:t>
      </w:r>
      <w:proofErr w:type="spellEnd"/>
      <w:r w:rsidRPr="004F7FF3">
        <w:rPr>
          <w:rFonts w:cstheme="minorHAnsi"/>
          <w:lang w:val="en-US"/>
        </w:rPr>
        <w:t>, S. Jones, M.A. Isaacs, A.F. Lee, M. Crocker, App</w:t>
      </w:r>
      <w:r>
        <w:rPr>
          <w:rFonts w:cstheme="minorHAnsi"/>
          <w:lang w:val="en-US"/>
        </w:rPr>
        <w:t xml:space="preserve">l. </w:t>
      </w:r>
      <w:proofErr w:type="spellStart"/>
      <w:r>
        <w:rPr>
          <w:rFonts w:cstheme="minorHAnsi"/>
          <w:lang w:val="en-US"/>
        </w:rPr>
        <w:t>Catal</w:t>
      </w:r>
      <w:proofErr w:type="spellEnd"/>
      <w:r>
        <w:rPr>
          <w:rFonts w:cstheme="minorHAnsi"/>
          <w:lang w:val="en-US"/>
        </w:rPr>
        <w:t xml:space="preserve">. </w:t>
      </w:r>
      <w:proofErr w:type="gramStart"/>
      <w:r>
        <w:rPr>
          <w:rFonts w:cstheme="minorHAnsi"/>
          <w:lang w:val="en-US"/>
        </w:rPr>
        <w:t>B 191 (2016) 147</w:t>
      </w:r>
      <w:r w:rsidRPr="004F7FF3">
        <w:rPr>
          <w:rFonts w:cstheme="minorHAnsi"/>
          <w:lang w:val="en-US"/>
        </w:rPr>
        <w:t>.</w:t>
      </w:r>
      <w:proofErr w:type="gramEnd"/>
    </w:p>
    <w:p w:rsidR="006E3091" w:rsidRDefault="006E3091" w:rsidP="00EA051A">
      <w:pPr>
        <w:tabs>
          <w:tab w:val="num" w:pos="720"/>
        </w:tabs>
        <w:ind w:right="-58"/>
        <w:jc w:val="both"/>
        <w:rPr>
          <w:rFonts w:cstheme="minorHAnsi"/>
          <w:lang w:val="en-US"/>
        </w:rPr>
      </w:pPr>
      <w:r w:rsidRPr="006E3091">
        <w:rPr>
          <w:rFonts w:cstheme="minorHAnsi"/>
          <w:lang w:val="en-US"/>
        </w:rPr>
        <w:t xml:space="preserve">[11] </w:t>
      </w:r>
      <w:r w:rsidRPr="004F7FF3">
        <w:rPr>
          <w:rFonts w:cstheme="minorHAnsi"/>
          <w:lang w:val="en-US"/>
        </w:rPr>
        <w:t xml:space="preserve">E. </w:t>
      </w:r>
      <w:proofErr w:type="spellStart"/>
      <w:r w:rsidRPr="004F7FF3">
        <w:rPr>
          <w:rFonts w:cstheme="minorHAnsi"/>
          <w:lang w:val="en-US"/>
        </w:rPr>
        <w:t>Santillan</w:t>
      </w:r>
      <w:proofErr w:type="spellEnd"/>
      <w:r w:rsidRPr="004F7FF3">
        <w:rPr>
          <w:rFonts w:cstheme="minorHAnsi"/>
          <w:lang w:val="en-US"/>
        </w:rPr>
        <w:t xml:space="preserve">-Jimenez, T. Morgan, J. </w:t>
      </w:r>
      <w:proofErr w:type="spellStart"/>
      <w:r w:rsidRPr="004F7FF3">
        <w:rPr>
          <w:rFonts w:cstheme="minorHAnsi"/>
          <w:lang w:val="en-US"/>
        </w:rPr>
        <w:t>Shoup</w:t>
      </w:r>
      <w:proofErr w:type="spellEnd"/>
      <w:r w:rsidRPr="004F7FF3">
        <w:rPr>
          <w:rFonts w:cstheme="minorHAnsi"/>
          <w:lang w:val="en-US"/>
        </w:rPr>
        <w:t xml:space="preserve">, A. E. Harman-Ware, M. Crocker, </w:t>
      </w:r>
      <w:proofErr w:type="spellStart"/>
      <w:r w:rsidRPr="004F7FF3">
        <w:rPr>
          <w:rFonts w:cstheme="minorHAnsi"/>
          <w:lang w:val="en-US"/>
        </w:rPr>
        <w:t>Catal</w:t>
      </w:r>
      <w:proofErr w:type="spellEnd"/>
      <w:r w:rsidRPr="004F7FF3">
        <w:rPr>
          <w:rFonts w:cstheme="minorHAnsi"/>
          <w:lang w:val="en-US"/>
        </w:rPr>
        <w:t xml:space="preserve">. </w:t>
      </w:r>
      <w:proofErr w:type="gramStart"/>
      <w:r w:rsidRPr="004F7FF3">
        <w:rPr>
          <w:rFonts w:cstheme="minorHAnsi"/>
          <w:lang w:val="en-US"/>
        </w:rPr>
        <w:t>Today 237 (2014)</w:t>
      </w:r>
      <w:r>
        <w:rPr>
          <w:rFonts w:cstheme="minorHAnsi"/>
          <w:lang w:val="en-US"/>
        </w:rPr>
        <w:t xml:space="preserve"> 136</w:t>
      </w:r>
      <w:r>
        <w:rPr>
          <w:rFonts w:cstheme="minorHAnsi"/>
          <w:lang w:val="el-GR"/>
        </w:rPr>
        <w:t>.</w:t>
      </w:r>
      <w:proofErr w:type="gramEnd"/>
    </w:p>
    <w:p w:rsidR="000F3870" w:rsidRPr="000F3870" w:rsidRDefault="000F3870" w:rsidP="00EA051A">
      <w:pPr>
        <w:tabs>
          <w:tab w:val="num" w:pos="720"/>
        </w:tabs>
        <w:ind w:right="-58"/>
        <w:jc w:val="both"/>
        <w:rPr>
          <w:lang w:val="en-US"/>
        </w:rPr>
      </w:pPr>
      <w:r>
        <w:rPr>
          <w:rFonts w:cstheme="minorHAnsi"/>
          <w:lang w:val="en-US"/>
        </w:rPr>
        <w:t xml:space="preserve">[12] </w:t>
      </w:r>
      <w:r>
        <w:t>M. Gousi,</w:t>
      </w:r>
      <w:r w:rsidRPr="00EE04C5">
        <w:t xml:space="preserve"> </w:t>
      </w:r>
      <w:r>
        <w:t xml:space="preserve">C. </w:t>
      </w:r>
      <w:proofErr w:type="spellStart"/>
      <w:r>
        <w:t>Andriop</w:t>
      </w:r>
      <w:r w:rsidRPr="00EE04C5">
        <w:t>o</w:t>
      </w:r>
      <w:r>
        <w:t>ul</w:t>
      </w:r>
      <w:r w:rsidRPr="00EE04C5">
        <w:t>ou</w:t>
      </w:r>
      <w:proofErr w:type="spellEnd"/>
      <w:r w:rsidRPr="00EE04C5">
        <w:t xml:space="preserve">, </w:t>
      </w:r>
      <w:r>
        <w:t xml:space="preserve">K. </w:t>
      </w:r>
      <w:r w:rsidRPr="00EE04C5">
        <w:t xml:space="preserve">Bourikas, </w:t>
      </w:r>
      <w:r>
        <w:t>S. Ladas</w:t>
      </w:r>
      <w:r w:rsidRPr="00EE04C5">
        <w:t xml:space="preserve">, </w:t>
      </w:r>
      <w:r>
        <w:t>M. Sotiri</w:t>
      </w:r>
      <w:r w:rsidRPr="00EE04C5">
        <w:t xml:space="preserve">ou, </w:t>
      </w:r>
      <w:r>
        <w:t xml:space="preserve">Ch. </w:t>
      </w:r>
      <w:r w:rsidRPr="00EE04C5">
        <w:t>Kordulis</w:t>
      </w:r>
      <w:r>
        <w:t xml:space="preserve">, A. </w:t>
      </w:r>
      <w:r w:rsidRPr="00EE04C5">
        <w:t>Lycourghiotis</w:t>
      </w:r>
      <w:r>
        <w:t xml:space="preserve">, </w:t>
      </w:r>
      <w:r w:rsidRPr="000F3870">
        <w:rPr>
          <w:iCs/>
          <w:lang w:val="en-US"/>
        </w:rPr>
        <w:t xml:space="preserve">Appl. </w:t>
      </w:r>
      <w:proofErr w:type="spellStart"/>
      <w:r w:rsidRPr="000F3870">
        <w:rPr>
          <w:iCs/>
          <w:lang w:val="en-US"/>
        </w:rPr>
        <w:t>Catal</w:t>
      </w:r>
      <w:proofErr w:type="spellEnd"/>
      <w:r w:rsidRPr="000F3870">
        <w:rPr>
          <w:iCs/>
          <w:lang w:val="en-US"/>
        </w:rPr>
        <w:t xml:space="preserve">. </w:t>
      </w:r>
      <w:proofErr w:type="gramStart"/>
      <w:r w:rsidRPr="000F3870">
        <w:rPr>
          <w:iCs/>
          <w:lang w:val="en-US"/>
        </w:rPr>
        <w:t>A</w:t>
      </w:r>
      <w:r w:rsidRPr="00BC7784">
        <w:t xml:space="preserve"> </w:t>
      </w:r>
      <w:r w:rsidRPr="000F3870">
        <w:t>536</w:t>
      </w:r>
      <w:r>
        <w:t xml:space="preserve"> (</w:t>
      </w:r>
      <w:r w:rsidRPr="000F3870">
        <w:t>2017</w:t>
      </w:r>
      <w:r>
        <w:t>)</w:t>
      </w:r>
      <w:r w:rsidRPr="00BC7784">
        <w:t xml:space="preserve"> </w:t>
      </w:r>
      <w:r>
        <w:t>45.</w:t>
      </w:r>
      <w:proofErr w:type="gramEnd"/>
    </w:p>
    <w:sectPr w:rsidR="000F3870" w:rsidRPr="000F3870" w:rsidSect="002E377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9DD" w:rsidRDefault="00B019DD" w:rsidP="00BA1A6C">
      <w:r>
        <w:separator/>
      </w:r>
    </w:p>
  </w:endnote>
  <w:endnote w:type="continuationSeparator" w:id="0">
    <w:p w:rsidR="00B019DD" w:rsidRDefault="00B019DD" w:rsidP="00BA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9DD" w:rsidRDefault="00B019DD" w:rsidP="00BA1A6C">
      <w:r>
        <w:separator/>
      </w:r>
    </w:p>
  </w:footnote>
  <w:footnote w:type="continuationSeparator" w:id="0">
    <w:p w:rsidR="00B019DD" w:rsidRDefault="00B019DD" w:rsidP="00BA1A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95003"/>
    <w:multiLevelType w:val="hybridMultilevel"/>
    <w:tmpl w:val="23CA6892"/>
    <w:lvl w:ilvl="0" w:tplc="202241B4">
      <w:start w:val="1"/>
      <w:numFmt w:val="decimal"/>
      <w:lvlText w:val="%1)"/>
      <w:lvlJc w:val="left"/>
      <w:pPr>
        <w:tabs>
          <w:tab w:val="num" w:pos="720"/>
        </w:tabs>
        <w:ind w:left="720" w:hanging="360"/>
      </w:pPr>
    </w:lvl>
    <w:lvl w:ilvl="1" w:tplc="0AA2592A" w:tentative="1">
      <w:start w:val="1"/>
      <w:numFmt w:val="decimal"/>
      <w:lvlText w:val="%2)"/>
      <w:lvlJc w:val="left"/>
      <w:pPr>
        <w:tabs>
          <w:tab w:val="num" w:pos="1440"/>
        </w:tabs>
        <w:ind w:left="1440" w:hanging="360"/>
      </w:pPr>
    </w:lvl>
    <w:lvl w:ilvl="2" w:tplc="2BA25996" w:tentative="1">
      <w:start w:val="1"/>
      <w:numFmt w:val="decimal"/>
      <w:lvlText w:val="%3)"/>
      <w:lvlJc w:val="left"/>
      <w:pPr>
        <w:tabs>
          <w:tab w:val="num" w:pos="2160"/>
        </w:tabs>
        <w:ind w:left="2160" w:hanging="360"/>
      </w:pPr>
    </w:lvl>
    <w:lvl w:ilvl="3" w:tplc="5AF00AB4" w:tentative="1">
      <w:start w:val="1"/>
      <w:numFmt w:val="decimal"/>
      <w:lvlText w:val="%4)"/>
      <w:lvlJc w:val="left"/>
      <w:pPr>
        <w:tabs>
          <w:tab w:val="num" w:pos="2880"/>
        </w:tabs>
        <w:ind w:left="2880" w:hanging="360"/>
      </w:pPr>
    </w:lvl>
    <w:lvl w:ilvl="4" w:tplc="0A223BD6" w:tentative="1">
      <w:start w:val="1"/>
      <w:numFmt w:val="decimal"/>
      <w:lvlText w:val="%5)"/>
      <w:lvlJc w:val="left"/>
      <w:pPr>
        <w:tabs>
          <w:tab w:val="num" w:pos="3600"/>
        </w:tabs>
        <w:ind w:left="3600" w:hanging="360"/>
      </w:pPr>
    </w:lvl>
    <w:lvl w:ilvl="5" w:tplc="0964945A" w:tentative="1">
      <w:start w:val="1"/>
      <w:numFmt w:val="decimal"/>
      <w:lvlText w:val="%6)"/>
      <w:lvlJc w:val="left"/>
      <w:pPr>
        <w:tabs>
          <w:tab w:val="num" w:pos="4320"/>
        </w:tabs>
        <w:ind w:left="4320" w:hanging="360"/>
      </w:pPr>
    </w:lvl>
    <w:lvl w:ilvl="6" w:tplc="E79E16A0" w:tentative="1">
      <w:start w:val="1"/>
      <w:numFmt w:val="decimal"/>
      <w:lvlText w:val="%7)"/>
      <w:lvlJc w:val="left"/>
      <w:pPr>
        <w:tabs>
          <w:tab w:val="num" w:pos="5040"/>
        </w:tabs>
        <w:ind w:left="5040" w:hanging="360"/>
      </w:pPr>
    </w:lvl>
    <w:lvl w:ilvl="7" w:tplc="7C3EC3CE" w:tentative="1">
      <w:start w:val="1"/>
      <w:numFmt w:val="decimal"/>
      <w:lvlText w:val="%8)"/>
      <w:lvlJc w:val="left"/>
      <w:pPr>
        <w:tabs>
          <w:tab w:val="num" w:pos="5760"/>
        </w:tabs>
        <w:ind w:left="5760" w:hanging="360"/>
      </w:pPr>
    </w:lvl>
    <w:lvl w:ilvl="8" w:tplc="5224B0A6" w:tentative="1">
      <w:start w:val="1"/>
      <w:numFmt w:val="decimal"/>
      <w:lvlText w:val="%9)"/>
      <w:lvlJc w:val="left"/>
      <w:pPr>
        <w:tabs>
          <w:tab w:val="num" w:pos="6480"/>
        </w:tabs>
        <w:ind w:left="6480" w:hanging="360"/>
      </w:pPr>
    </w:lvl>
  </w:abstractNum>
  <w:abstractNum w:abstractNumId="1">
    <w:nsid w:val="309E4C5A"/>
    <w:multiLevelType w:val="hybridMultilevel"/>
    <w:tmpl w:val="E14A5116"/>
    <w:lvl w:ilvl="0" w:tplc="0B96D140">
      <w:start w:val="1"/>
      <w:numFmt w:val="decimal"/>
      <w:lvlText w:val="(%1)"/>
      <w:lvlJc w:val="left"/>
      <w:pPr>
        <w:tabs>
          <w:tab w:val="num" w:pos="720"/>
        </w:tabs>
        <w:ind w:left="720" w:hanging="360"/>
      </w:pPr>
    </w:lvl>
    <w:lvl w:ilvl="1" w:tplc="25D0F7AE" w:tentative="1">
      <w:start w:val="1"/>
      <w:numFmt w:val="decimal"/>
      <w:lvlText w:val="(%2)"/>
      <w:lvlJc w:val="left"/>
      <w:pPr>
        <w:tabs>
          <w:tab w:val="num" w:pos="1440"/>
        </w:tabs>
        <w:ind w:left="1440" w:hanging="360"/>
      </w:pPr>
    </w:lvl>
    <w:lvl w:ilvl="2" w:tplc="87D6C6EE" w:tentative="1">
      <w:start w:val="1"/>
      <w:numFmt w:val="decimal"/>
      <w:lvlText w:val="(%3)"/>
      <w:lvlJc w:val="left"/>
      <w:pPr>
        <w:tabs>
          <w:tab w:val="num" w:pos="2160"/>
        </w:tabs>
        <w:ind w:left="2160" w:hanging="360"/>
      </w:pPr>
    </w:lvl>
    <w:lvl w:ilvl="3" w:tplc="4AE21CB2" w:tentative="1">
      <w:start w:val="1"/>
      <w:numFmt w:val="decimal"/>
      <w:lvlText w:val="(%4)"/>
      <w:lvlJc w:val="left"/>
      <w:pPr>
        <w:tabs>
          <w:tab w:val="num" w:pos="2880"/>
        </w:tabs>
        <w:ind w:left="2880" w:hanging="360"/>
      </w:pPr>
    </w:lvl>
    <w:lvl w:ilvl="4" w:tplc="509E4BEA" w:tentative="1">
      <w:start w:val="1"/>
      <w:numFmt w:val="decimal"/>
      <w:lvlText w:val="(%5)"/>
      <w:lvlJc w:val="left"/>
      <w:pPr>
        <w:tabs>
          <w:tab w:val="num" w:pos="3600"/>
        </w:tabs>
        <w:ind w:left="3600" w:hanging="360"/>
      </w:pPr>
    </w:lvl>
    <w:lvl w:ilvl="5" w:tplc="C61EE2F8" w:tentative="1">
      <w:start w:val="1"/>
      <w:numFmt w:val="decimal"/>
      <w:lvlText w:val="(%6)"/>
      <w:lvlJc w:val="left"/>
      <w:pPr>
        <w:tabs>
          <w:tab w:val="num" w:pos="4320"/>
        </w:tabs>
        <w:ind w:left="4320" w:hanging="360"/>
      </w:pPr>
    </w:lvl>
    <w:lvl w:ilvl="6" w:tplc="EAE6062E" w:tentative="1">
      <w:start w:val="1"/>
      <w:numFmt w:val="decimal"/>
      <w:lvlText w:val="(%7)"/>
      <w:lvlJc w:val="left"/>
      <w:pPr>
        <w:tabs>
          <w:tab w:val="num" w:pos="5040"/>
        </w:tabs>
        <w:ind w:left="5040" w:hanging="360"/>
      </w:pPr>
    </w:lvl>
    <w:lvl w:ilvl="7" w:tplc="75944188" w:tentative="1">
      <w:start w:val="1"/>
      <w:numFmt w:val="decimal"/>
      <w:lvlText w:val="(%8)"/>
      <w:lvlJc w:val="left"/>
      <w:pPr>
        <w:tabs>
          <w:tab w:val="num" w:pos="5760"/>
        </w:tabs>
        <w:ind w:left="5760" w:hanging="360"/>
      </w:pPr>
    </w:lvl>
    <w:lvl w:ilvl="8" w:tplc="86FCEFE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hyphenationZone w:val="357"/>
  <w:noPunctuationKerning/>
  <w:characterSpacingControl w:val="doNotCompress"/>
  <w:footnotePr>
    <w:footnote w:id="-1"/>
    <w:footnote w:id="0"/>
  </w:footnotePr>
  <w:endnotePr>
    <w:endnote w:id="-1"/>
    <w:endnote w:id="0"/>
  </w:endnotePr>
  <w:compat/>
  <w:rsids>
    <w:rsidRoot w:val="00516448"/>
    <w:rsid w:val="00050EE3"/>
    <w:rsid w:val="000744A1"/>
    <w:rsid w:val="000A44C3"/>
    <w:rsid w:val="000D2206"/>
    <w:rsid w:val="000E7213"/>
    <w:rsid w:val="000F12FF"/>
    <w:rsid w:val="000F3870"/>
    <w:rsid w:val="001079C2"/>
    <w:rsid w:val="0012721F"/>
    <w:rsid w:val="001610F5"/>
    <w:rsid w:val="00165C29"/>
    <w:rsid w:val="0019263F"/>
    <w:rsid w:val="00193710"/>
    <w:rsid w:val="00194D80"/>
    <w:rsid w:val="00196FA5"/>
    <w:rsid w:val="002172E4"/>
    <w:rsid w:val="00240641"/>
    <w:rsid w:val="00242D4F"/>
    <w:rsid w:val="00266502"/>
    <w:rsid w:val="00267B45"/>
    <w:rsid w:val="002877D2"/>
    <w:rsid w:val="002900A5"/>
    <w:rsid w:val="002D4FD4"/>
    <w:rsid w:val="002D67A1"/>
    <w:rsid w:val="002E3778"/>
    <w:rsid w:val="00326205"/>
    <w:rsid w:val="00334C28"/>
    <w:rsid w:val="003355C0"/>
    <w:rsid w:val="00366D04"/>
    <w:rsid w:val="003B4C1E"/>
    <w:rsid w:val="003C7978"/>
    <w:rsid w:val="003D6813"/>
    <w:rsid w:val="00417108"/>
    <w:rsid w:val="0042022C"/>
    <w:rsid w:val="00486625"/>
    <w:rsid w:val="0049253A"/>
    <w:rsid w:val="004D14C0"/>
    <w:rsid w:val="004F298C"/>
    <w:rsid w:val="005016F4"/>
    <w:rsid w:val="00516448"/>
    <w:rsid w:val="00555510"/>
    <w:rsid w:val="00556E5D"/>
    <w:rsid w:val="00570284"/>
    <w:rsid w:val="005B74E5"/>
    <w:rsid w:val="005B7904"/>
    <w:rsid w:val="005D1154"/>
    <w:rsid w:val="005D300B"/>
    <w:rsid w:val="005D7556"/>
    <w:rsid w:val="005E3ECF"/>
    <w:rsid w:val="005F244E"/>
    <w:rsid w:val="0061460F"/>
    <w:rsid w:val="0061553F"/>
    <w:rsid w:val="00623AD6"/>
    <w:rsid w:val="00626F80"/>
    <w:rsid w:val="00637ABE"/>
    <w:rsid w:val="0065051F"/>
    <w:rsid w:val="00657A97"/>
    <w:rsid w:val="00682514"/>
    <w:rsid w:val="00687F02"/>
    <w:rsid w:val="0069744D"/>
    <w:rsid w:val="006B0A9E"/>
    <w:rsid w:val="006D23ED"/>
    <w:rsid w:val="006D7274"/>
    <w:rsid w:val="006E3091"/>
    <w:rsid w:val="00794F40"/>
    <w:rsid w:val="007A0F30"/>
    <w:rsid w:val="007C7113"/>
    <w:rsid w:val="007D6B57"/>
    <w:rsid w:val="00833A1C"/>
    <w:rsid w:val="00834F3E"/>
    <w:rsid w:val="00896F7D"/>
    <w:rsid w:val="008C358D"/>
    <w:rsid w:val="008D00B7"/>
    <w:rsid w:val="008D1FEF"/>
    <w:rsid w:val="008D4B6F"/>
    <w:rsid w:val="008E37CD"/>
    <w:rsid w:val="008E4905"/>
    <w:rsid w:val="009437FD"/>
    <w:rsid w:val="00965781"/>
    <w:rsid w:val="00966D69"/>
    <w:rsid w:val="00966F4F"/>
    <w:rsid w:val="009C46BB"/>
    <w:rsid w:val="009C68B6"/>
    <w:rsid w:val="00A04041"/>
    <w:rsid w:val="00A20325"/>
    <w:rsid w:val="00A405BF"/>
    <w:rsid w:val="00A443DD"/>
    <w:rsid w:val="00A52B75"/>
    <w:rsid w:val="00A54EE9"/>
    <w:rsid w:val="00A63B75"/>
    <w:rsid w:val="00A83661"/>
    <w:rsid w:val="00AA791C"/>
    <w:rsid w:val="00AB40AC"/>
    <w:rsid w:val="00AC7537"/>
    <w:rsid w:val="00AD5FB3"/>
    <w:rsid w:val="00B019DD"/>
    <w:rsid w:val="00B05048"/>
    <w:rsid w:val="00B0661C"/>
    <w:rsid w:val="00B2329E"/>
    <w:rsid w:val="00B35F1D"/>
    <w:rsid w:val="00B4415A"/>
    <w:rsid w:val="00B44EAB"/>
    <w:rsid w:val="00B73247"/>
    <w:rsid w:val="00BA131C"/>
    <w:rsid w:val="00BA1A6C"/>
    <w:rsid w:val="00BA2579"/>
    <w:rsid w:val="00BA5072"/>
    <w:rsid w:val="00BB0C95"/>
    <w:rsid w:val="00BB2208"/>
    <w:rsid w:val="00BD69C2"/>
    <w:rsid w:val="00BD710D"/>
    <w:rsid w:val="00BD78CE"/>
    <w:rsid w:val="00BE2D33"/>
    <w:rsid w:val="00C04EC8"/>
    <w:rsid w:val="00C1339C"/>
    <w:rsid w:val="00C1569C"/>
    <w:rsid w:val="00C17D70"/>
    <w:rsid w:val="00C51C19"/>
    <w:rsid w:val="00C72CA2"/>
    <w:rsid w:val="00C80813"/>
    <w:rsid w:val="00CA02FD"/>
    <w:rsid w:val="00CD0485"/>
    <w:rsid w:val="00CD4DD4"/>
    <w:rsid w:val="00CE2442"/>
    <w:rsid w:val="00D2347B"/>
    <w:rsid w:val="00D36349"/>
    <w:rsid w:val="00D440F2"/>
    <w:rsid w:val="00D51BAC"/>
    <w:rsid w:val="00D75695"/>
    <w:rsid w:val="00D9387C"/>
    <w:rsid w:val="00DA145B"/>
    <w:rsid w:val="00DA46FC"/>
    <w:rsid w:val="00DC0059"/>
    <w:rsid w:val="00DC2B91"/>
    <w:rsid w:val="00DD726A"/>
    <w:rsid w:val="00E01E81"/>
    <w:rsid w:val="00E11ADD"/>
    <w:rsid w:val="00E45CEE"/>
    <w:rsid w:val="00E53BC5"/>
    <w:rsid w:val="00E82EDB"/>
    <w:rsid w:val="00EA051A"/>
    <w:rsid w:val="00ED6158"/>
    <w:rsid w:val="00EF588A"/>
    <w:rsid w:val="00F34A42"/>
    <w:rsid w:val="00F54564"/>
    <w:rsid w:val="00F82932"/>
    <w:rsid w:val="00FD03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39C"/>
    <w:rPr>
      <w:sz w:val="24"/>
      <w:szCs w:val="24"/>
      <w:lang w:val="en-GB" w:eastAsia="en-US"/>
    </w:rPr>
  </w:style>
  <w:style w:type="paragraph" w:styleId="1">
    <w:name w:val="heading 1"/>
    <w:basedOn w:val="a"/>
    <w:next w:val="a"/>
    <w:qFormat/>
    <w:rsid w:val="00C1339C"/>
    <w:pPr>
      <w:keepNext/>
      <w:jc w:val="both"/>
      <w:outlineLvl w:val="0"/>
    </w:pPr>
    <w:rPr>
      <w:b/>
      <w:bCs/>
      <w:sz w:val="22"/>
      <w:lang w:val="el-GR"/>
    </w:rPr>
  </w:style>
  <w:style w:type="paragraph" w:styleId="2">
    <w:name w:val="heading 2"/>
    <w:basedOn w:val="a"/>
    <w:next w:val="a"/>
    <w:qFormat/>
    <w:rsid w:val="00C1339C"/>
    <w:pPr>
      <w:keepNext/>
      <w:outlineLvl w:val="1"/>
    </w:pPr>
    <w:rPr>
      <w:b/>
      <w:bCs/>
      <w:iCs/>
      <w:sz w:val="22"/>
      <w:lang w:val="el-GR"/>
    </w:rPr>
  </w:style>
  <w:style w:type="paragraph" w:styleId="5">
    <w:name w:val="heading 5"/>
    <w:basedOn w:val="a"/>
    <w:next w:val="a"/>
    <w:qFormat/>
    <w:rsid w:val="00C1339C"/>
    <w:pPr>
      <w:keepNext/>
      <w:spacing w:line="360" w:lineRule="auto"/>
      <w:outlineLvl w:val="4"/>
    </w:pPr>
    <w:rPr>
      <w:b/>
      <w:sz w:val="28"/>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C1339C"/>
    <w:pPr>
      <w:jc w:val="center"/>
    </w:pPr>
    <w:rPr>
      <w:sz w:val="36"/>
      <w:szCs w:val="20"/>
      <w:lang w:val="en-US"/>
    </w:rPr>
  </w:style>
  <w:style w:type="paragraph" w:styleId="a4">
    <w:name w:val="header"/>
    <w:basedOn w:val="a"/>
    <w:link w:val="Char0"/>
    <w:uiPriority w:val="99"/>
    <w:unhideWhenUsed/>
    <w:rsid w:val="00BA1A6C"/>
    <w:pPr>
      <w:tabs>
        <w:tab w:val="center" w:pos="4153"/>
        <w:tab w:val="right" w:pos="8306"/>
      </w:tabs>
    </w:pPr>
  </w:style>
  <w:style w:type="character" w:customStyle="1" w:styleId="Char0">
    <w:name w:val="Κεφαλίδα Char"/>
    <w:link w:val="a4"/>
    <w:uiPriority w:val="99"/>
    <w:rsid w:val="00BA1A6C"/>
    <w:rPr>
      <w:sz w:val="24"/>
      <w:szCs w:val="24"/>
      <w:lang w:val="en-GB" w:eastAsia="en-US"/>
    </w:rPr>
  </w:style>
  <w:style w:type="paragraph" w:styleId="a5">
    <w:name w:val="footer"/>
    <w:basedOn w:val="a"/>
    <w:link w:val="Char1"/>
    <w:uiPriority w:val="99"/>
    <w:unhideWhenUsed/>
    <w:rsid w:val="00BA1A6C"/>
    <w:pPr>
      <w:tabs>
        <w:tab w:val="center" w:pos="4153"/>
        <w:tab w:val="right" w:pos="8306"/>
      </w:tabs>
    </w:pPr>
  </w:style>
  <w:style w:type="character" w:customStyle="1" w:styleId="Char1">
    <w:name w:val="Υποσέλιδο Char"/>
    <w:link w:val="a5"/>
    <w:uiPriority w:val="99"/>
    <w:rsid w:val="00BA1A6C"/>
    <w:rPr>
      <w:sz w:val="24"/>
      <w:szCs w:val="24"/>
      <w:lang w:val="en-GB" w:eastAsia="en-US"/>
    </w:rPr>
  </w:style>
  <w:style w:type="paragraph" w:styleId="Web">
    <w:name w:val="Normal (Web)"/>
    <w:basedOn w:val="a"/>
    <w:uiPriority w:val="99"/>
    <w:semiHidden/>
    <w:unhideWhenUsed/>
    <w:rsid w:val="00050EE3"/>
    <w:pPr>
      <w:spacing w:before="100" w:beforeAutospacing="1" w:after="100" w:afterAutospacing="1"/>
    </w:pPr>
    <w:rPr>
      <w:lang w:val="el-GR" w:eastAsia="el-GR"/>
    </w:rPr>
  </w:style>
  <w:style w:type="paragraph" w:styleId="a6">
    <w:name w:val="List Paragraph"/>
    <w:basedOn w:val="a"/>
    <w:uiPriority w:val="34"/>
    <w:qFormat/>
    <w:rsid w:val="000F12FF"/>
    <w:pPr>
      <w:ind w:left="720"/>
      <w:contextualSpacing/>
    </w:pPr>
  </w:style>
  <w:style w:type="character" w:customStyle="1" w:styleId="Char">
    <w:name w:val="Τίτλος Char"/>
    <w:basedOn w:val="a0"/>
    <w:link w:val="a3"/>
    <w:rsid w:val="00267B45"/>
    <w:rPr>
      <w:sz w:val="36"/>
      <w:lang w:val="en-US" w:eastAsia="en-US"/>
    </w:rPr>
  </w:style>
  <w:style w:type="paragraph" w:styleId="a7">
    <w:name w:val="Balloon Text"/>
    <w:basedOn w:val="a"/>
    <w:link w:val="Char2"/>
    <w:uiPriority w:val="99"/>
    <w:semiHidden/>
    <w:unhideWhenUsed/>
    <w:rsid w:val="004D14C0"/>
    <w:rPr>
      <w:rFonts w:ascii="Tahoma" w:hAnsi="Tahoma" w:cs="Tahoma"/>
      <w:sz w:val="16"/>
      <w:szCs w:val="16"/>
    </w:rPr>
  </w:style>
  <w:style w:type="character" w:customStyle="1" w:styleId="Char2">
    <w:name w:val="Κείμενο πλαισίου Char"/>
    <w:basedOn w:val="a0"/>
    <w:link w:val="a7"/>
    <w:uiPriority w:val="99"/>
    <w:semiHidden/>
    <w:rsid w:val="004D14C0"/>
    <w:rPr>
      <w:rFonts w:ascii="Tahoma" w:hAnsi="Tahoma" w:cs="Tahoma"/>
      <w:sz w:val="16"/>
      <w:szCs w:val="16"/>
      <w:lang w:val="en-GB" w:eastAsia="en-US"/>
    </w:rPr>
  </w:style>
  <w:style w:type="table" w:styleId="a8">
    <w:name w:val="Table Grid"/>
    <w:basedOn w:val="a1"/>
    <w:uiPriority w:val="59"/>
    <w:rsid w:val="0041710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17108"/>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944389">
      <w:bodyDiv w:val="1"/>
      <w:marLeft w:val="0"/>
      <w:marRight w:val="0"/>
      <w:marTop w:val="0"/>
      <w:marBottom w:val="0"/>
      <w:divBdr>
        <w:top w:val="none" w:sz="0" w:space="0" w:color="auto"/>
        <w:left w:val="none" w:sz="0" w:space="0" w:color="auto"/>
        <w:bottom w:val="none" w:sz="0" w:space="0" w:color="auto"/>
        <w:right w:val="none" w:sz="0" w:space="0" w:color="auto"/>
      </w:divBdr>
    </w:div>
    <w:div w:id="14501571">
      <w:bodyDiv w:val="1"/>
      <w:marLeft w:val="0"/>
      <w:marRight w:val="0"/>
      <w:marTop w:val="0"/>
      <w:marBottom w:val="0"/>
      <w:divBdr>
        <w:top w:val="none" w:sz="0" w:space="0" w:color="auto"/>
        <w:left w:val="none" w:sz="0" w:space="0" w:color="auto"/>
        <w:bottom w:val="none" w:sz="0" w:space="0" w:color="auto"/>
        <w:right w:val="none" w:sz="0" w:space="0" w:color="auto"/>
      </w:divBdr>
    </w:div>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112216014">
      <w:bodyDiv w:val="1"/>
      <w:marLeft w:val="0"/>
      <w:marRight w:val="0"/>
      <w:marTop w:val="0"/>
      <w:marBottom w:val="0"/>
      <w:divBdr>
        <w:top w:val="none" w:sz="0" w:space="0" w:color="auto"/>
        <w:left w:val="none" w:sz="0" w:space="0" w:color="auto"/>
        <w:bottom w:val="none" w:sz="0" w:space="0" w:color="auto"/>
        <w:right w:val="none" w:sz="0" w:space="0" w:color="auto"/>
      </w:divBdr>
    </w:div>
    <w:div w:id="193925418">
      <w:bodyDiv w:val="1"/>
      <w:marLeft w:val="0"/>
      <w:marRight w:val="0"/>
      <w:marTop w:val="0"/>
      <w:marBottom w:val="0"/>
      <w:divBdr>
        <w:top w:val="none" w:sz="0" w:space="0" w:color="auto"/>
        <w:left w:val="none" w:sz="0" w:space="0" w:color="auto"/>
        <w:bottom w:val="none" w:sz="0" w:space="0" w:color="auto"/>
        <w:right w:val="none" w:sz="0" w:space="0" w:color="auto"/>
      </w:divBdr>
    </w:div>
    <w:div w:id="602803302">
      <w:bodyDiv w:val="1"/>
      <w:marLeft w:val="0"/>
      <w:marRight w:val="0"/>
      <w:marTop w:val="0"/>
      <w:marBottom w:val="0"/>
      <w:divBdr>
        <w:top w:val="none" w:sz="0" w:space="0" w:color="auto"/>
        <w:left w:val="none" w:sz="0" w:space="0" w:color="auto"/>
        <w:bottom w:val="none" w:sz="0" w:space="0" w:color="auto"/>
        <w:right w:val="none" w:sz="0" w:space="0" w:color="auto"/>
      </w:divBdr>
      <w:divsChild>
        <w:div w:id="661471681">
          <w:marLeft w:val="763"/>
          <w:marRight w:val="0"/>
          <w:marTop w:val="0"/>
          <w:marBottom w:val="0"/>
          <w:divBdr>
            <w:top w:val="none" w:sz="0" w:space="0" w:color="auto"/>
            <w:left w:val="none" w:sz="0" w:space="0" w:color="auto"/>
            <w:bottom w:val="none" w:sz="0" w:space="0" w:color="auto"/>
            <w:right w:val="none" w:sz="0" w:space="0" w:color="auto"/>
          </w:divBdr>
        </w:div>
      </w:divsChild>
    </w:div>
    <w:div w:id="711465762">
      <w:bodyDiv w:val="1"/>
      <w:marLeft w:val="0"/>
      <w:marRight w:val="0"/>
      <w:marTop w:val="0"/>
      <w:marBottom w:val="0"/>
      <w:divBdr>
        <w:top w:val="none" w:sz="0" w:space="0" w:color="auto"/>
        <w:left w:val="none" w:sz="0" w:space="0" w:color="auto"/>
        <w:bottom w:val="none" w:sz="0" w:space="0" w:color="auto"/>
        <w:right w:val="none" w:sz="0" w:space="0" w:color="auto"/>
      </w:divBdr>
    </w:div>
    <w:div w:id="800538921">
      <w:bodyDiv w:val="1"/>
      <w:marLeft w:val="0"/>
      <w:marRight w:val="0"/>
      <w:marTop w:val="0"/>
      <w:marBottom w:val="0"/>
      <w:divBdr>
        <w:top w:val="none" w:sz="0" w:space="0" w:color="auto"/>
        <w:left w:val="none" w:sz="0" w:space="0" w:color="auto"/>
        <w:bottom w:val="none" w:sz="0" w:space="0" w:color="auto"/>
        <w:right w:val="none" w:sz="0" w:space="0" w:color="auto"/>
      </w:divBdr>
    </w:div>
    <w:div w:id="933513395">
      <w:bodyDiv w:val="1"/>
      <w:marLeft w:val="0"/>
      <w:marRight w:val="0"/>
      <w:marTop w:val="0"/>
      <w:marBottom w:val="0"/>
      <w:divBdr>
        <w:top w:val="none" w:sz="0" w:space="0" w:color="auto"/>
        <w:left w:val="none" w:sz="0" w:space="0" w:color="auto"/>
        <w:bottom w:val="none" w:sz="0" w:space="0" w:color="auto"/>
        <w:right w:val="none" w:sz="0" w:space="0" w:color="auto"/>
      </w:divBdr>
    </w:div>
    <w:div w:id="972061028">
      <w:bodyDiv w:val="1"/>
      <w:marLeft w:val="0"/>
      <w:marRight w:val="0"/>
      <w:marTop w:val="0"/>
      <w:marBottom w:val="0"/>
      <w:divBdr>
        <w:top w:val="none" w:sz="0" w:space="0" w:color="auto"/>
        <w:left w:val="none" w:sz="0" w:space="0" w:color="auto"/>
        <w:bottom w:val="none" w:sz="0" w:space="0" w:color="auto"/>
        <w:right w:val="none" w:sz="0" w:space="0" w:color="auto"/>
      </w:divBdr>
      <w:divsChild>
        <w:div w:id="164904258">
          <w:marLeft w:val="806"/>
          <w:marRight w:val="0"/>
          <w:marTop w:val="0"/>
          <w:marBottom w:val="0"/>
          <w:divBdr>
            <w:top w:val="none" w:sz="0" w:space="0" w:color="auto"/>
            <w:left w:val="none" w:sz="0" w:space="0" w:color="auto"/>
            <w:bottom w:val="none" w:sz="0" w:space="0" w:color="auto"/>
            <w:right w:val="none" w:sz="0" w:space="0" w:color="auto"/>
          </w:divBdr>
        </w:div>
        <w:div w:id="644286296">
          <w:marLeft w:val="806"/>
          <w:marRight w:val="0"/>
          <w:marTop w:val="0"/>
          <w:marBottom w:val="0"/>
          <w:divBdr>
            <w:top w:val="none" w:sz="0" w:space="0" w:color="auto"/>
            <w:left w:val="none" w:sz="0" w:space="0" w:color="auto"/>
            <w:bottom w:val="none" w:sz="0" w:space="0" w:color="auto"/>
            <w:right w:val="none" w:sz="0" w:space="0" w:color="auto"/>
          </w:divBdr>
        </w:div>
        <w:div w:id="2063819333">
          <w:marLeft w:val="806"/>
          <w:marRight w:val="0"/>
          <w:marTop w:val="0"/>
          <w:marBottom w:val="0"/>
          <w:divBdr>
            <w:top w:val="none" w:sz="0" w:space="0" w:color="auto"/>
            <w:left w:val="none" w:sz="0" w:space="0" w:color="auto"/>
            <w:bottom w:val="none" w:sz="0" w:space="0" w:color="auto"/>
            <w:right w:val="none" w:sz="0" w:space="0" w:color="auto"/>
          </w:divBdr>
        </w:div>
      </w:divsChild>
    </w:div>
    <w:div w:id="1162892546">
      <w:bodyDiv w:val="1"/>
      <w:marLeft w:val="0"/>
      <w:marRight w:val="0"/>
      <w:marTop w:val="0"/>
      <w:marBottom w:val="0"/>
      <w:divBdr>
        <w:top w:val="none" w:sz="0" w:space="0" w:color="auto"/>
        <w:left w:val="none" w:sz="0" w:space="0" w:color="auto"/>
        <w:bottom w:val="none" w:sz="0" w:space="0" w:color="auto"/>
        <w:right w:val="none" w:sz="0" w:space="0" w:color="auto"/>
      </w:divBdr>
    </w:div>
    <w:div w:id="1254124081">
      <w:bodyDiv w:val="1"/>
      <w:marLeft w:val="0"/>
      <w:marRight w:val="0"/>
      <w:marTop w:val="0"/>
      <w:marBottom w:val="0"/>
      <w:divBdr>
        <w:top w:val="none" w:sz="0" w:space="0" w:color="auto"/>
        <w:left w:val="none" w:sz="0" w:space="0" w:color="auto"/>
        <w:bottom w:val="none" w:sz="0" w:space="0" w:color="auto"/>
        <w:right w:val="none" w:sz="0" w:space="0" w:color="auto"/>
      </w:divBdr>
    </w:div>
    <w:div w:id="1282834136">
      <w:bodyDiv w:val="1"/>
      <w:marLeft w:val="0"/>
      <w:marRight w:val="0"/>
      <w:marTop w:val="0"/>
      <w:marBottom w:val="0"/>
      <w:divBdr>
        <w:top w:val="none" w:sz="0" w:space="0" w:color="auto"/>
        <w:left w:val="none" w:sz="0" w:space="0" w:color="auto"/>
        <w:bottom w:val="none" w:sz="0" w:space="0" w:color="auto"/>
        <w:right w:val="none" w:sz="0" w:space="0" w:color="auto"/>
      </w:divBdr>
    </w:div>
    <w:div w:id="1442263232">
      <w:bodyDiv w:val="1"/>
      <w:marLeft w:val="0"/>
      <w:marRight w:val="0"/>
      <w:marTop w:val="0"/>
      <w:marBottom w:val="0"/>
      <w:divBdr>
        <w:top w:val="none" w:sz="0" w:space="0" w:color="auto"/>
        <w:left w:val="none" w:sz="0" w:space="0" w:color="auto"/>
        <w:bottom w:val="none" w:sz="0" w:space="0" w:color="auto"/>
        <w:right w:val="none" w:sz="0" w:space="0" w:color="auto"/>
      </w:divBdr>
    </w:div>
    <w:div w:id="1477144165">
      <w:bodyDiv w:val="1"/>
      <w:marLeft w:val="0"/>
      <w:marRight w:val="0"/>
      <w:marTop w:val="0"/>
      <w:marBottom w:val="0"/>
      <w:divBdr>
        <w:top w:val="none" w:sz="0" w:space="0" w:color="auto"/>
        <w:left w:val="none" w:sz="0" w:space="0" w:color="auto"/>
        <w:bottom w:val="none" w:sz="0" w:space="0" w:color="auto"/>
        <w:right w:val="none" w:sz="0" w:space="0" w:color="auto"/>
      </w:divBdr>
    </w:div>
    <w:div w:id="1708751114">
      <w:bodyDiv w:val="1"/>
      <w:marLeft w:val="0"/>
      <w:marRight w:val="0"/>
      <w:marTop w:val="0"/>
      <w:marBottom w:val="0"/>
      <w:divBdr>
        <w:top w:val="none" w:sz="0" w:space="0" w:color="auto"/>
        <w:left w:val="none" w:sz="0" w:space="0" w:color="auto"/>
        <w:bottom w:val="none" w:sz="0" w:space="0" w:color="auto"/>
        <w:right w:val="none" w:sz="0" w:space="0" w:color="auto"/>
      </w:divBdr>
    </w:div>
    <w:div w:id="1747606629">
      <w:bodyDiv w:val="1"/>
      <w:marLeft w:val="0"/>
      <w:marRight w:val="0"/>
      <w:marTop w:val="0"/>
      <w:marBottom w:val="0"/>
      <w:divBdr>
        <w:top w:val="none" w:sz="0" w:space="0" w:color="auto"/>
        <w:left w:val="none" w:sz="0" w:space="0" w:color="auto"/>
        <w:bottom w:val="none" w:sz="0" w:space="0" w:color="auto"/>
        <w:right w:val="none" w:sz="0" w:space="0" w:color="auto"/>
      </w:divBdr>
    </w:div>
    <w:div w:id="1895003668">
      <w:bodyDiv w:val="1"/>
      <w:marLeft w:val="0"/>
      <w:marRight w:val="0"/>
      <w:marTop w:val="0"/>
      <w:marBottom w:val="0"/>
      <w:divBdr>
        <w:top w:val="none" w:sz="0" w:space="0" w:color="auto"/>
        <w:left w:val="none" w:sz="0" w:space="0" w:color="auto"/>
        <w:bottom w:val="none" w:sz="0" w:space="0" w:color="auto"/>
        <w:right w:val="none" w:sz="0" w:space="0" w:color="auto"/>
      </w:divBdr>
    </w:div>
    <w:div w:id="1939950265">
      <w:bodyDiv w:val="1"/>
      <w:marLeft w:val="0"/>
      <w:marRight w:val="0"/>
      <w:marTop w:val="0"/>
      <w:marBottom w:val="0"/>
      <w:divBdr>
        <w:top w:val="none" w:sz="0" w:space="0" w:color="auto"/>
        <w:left w:val="none" w:sz="0" w:space="0" w:color="auto"/>
        <w:bottom w:val="none" w:sz="0" w:space="0" w:color="auto"/>
        <w:right w:val="none" w:sz="0" w:space="0" w:color="auto"/>
      </w:divBdr>
    </w:div>
    <w:div w:id="20318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o.ICEHT\Documents\2016-Catalysis%20Symposium\&#933;&#960;&#959;&#948;&#949;&#953;&#947;&#956;&#945;-&#928;&#949;&#961;&#953;&#955;&#951;&#968;&#951;&#962;-14&#928;&#931;&#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3873E-A165-4517-9722-27365B8A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Υποδειγμα-Περιληψης-14ΠΣΚ.dotx</Template>
  <TotalTime>611</TotalTime>
  <Pages>9</Pages>
  <Words>2955</Words>
  <Characters>15960</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ΕΙΣΑΓΩΓΗ</vt:lpstr>
      <vt:lpstr>ΕΙΣΑΓΩΓΗ</vt:lpstr>
    </vt:vector>
  </TitlesOfParts>
  <Company/>
  <LinksUpToDate>false</LinksUpToDate>
  <CharactersWithSpaces>18878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ΕΙΣΑΓΩΓΗ</dc:title>
  <dc:creator>Theophilos Ioannides</dc:creator>
  <cp:lastModifiedBy>Kyriakos Bourikas</cp:lastModifiedBy>
  <cp:revision>54</cp:revision>
  <dcterms:created xsi:type="dcterms:W3CDTF">2017-10-16T10:33:00Z</dcterms:created>
  <dcterms:modified xsi:type="dcterms:W3CDTF">2017-10-19T10:06:00Z</dcterms:modified>
</cp:coreProperties>
</file>